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F057488" w:rsidP="20CDD690" w:rsidRDefault="5F057488" w14:paraId="2CB1EABA" w14:textId="2581BD9D">
      <w:pPr>
        <w:pStyle w:val="Title"/>
        <w:jc w:val="center"/>
        <w:rPr>
          <w:rFonts w:ascii="Montserrat Light" w:hAnsi="Montserrat Light" w:eastAsia="Montserrat Light" w:cs="Montserrat Light"/>
          <w:b/>
          <w:bCs/>
          <w:sz w:val="40"/>
          <w:szCs w:val="40"/>
        </w:rPr>
      </w:pPr>
      <w:r w:rsidRPr="20CDD690">
        <w:rPr>
          <w:rFonts w:ascii="Montserrat Light" w:hAnsi="Montserrat Light" w:eastAsia="Montserrat Light" w:cs="Montserrat Light"/>
          <w:b/>
          <w:bCs/>
          <w:sz w:val="40"/>
          <w:szCs w:val="40"/>
        </w:rPr>
        <w:t>Data Access Protocol (Template)</w:t>
      </w:r>
    </w:p>
    <w:p w:rsidR="20CDD690" w:rsidP="20CDD690" w:rsidRDefault="20CDD690" w14:paraId="066F2FFB" w14:textId="6ECDC765">
      <w:pPr>
        <w:jc w:val="center"/>
        <w:rPr>
          <w:rFonts w:ascii="Arial" w:hAnsi="Arial" w:eastAsia="Arial" w:cs="Arial"/>
        </w:rPr>
      </w:pPr>
    </w:p>
    <w:p w:rsidR="604E8C2F" w:rsidP="20CDD690" w:rsidRDefault="604E8C2F" w14:paraId="78935DA1" w14:textId="3CC0573F">
      <w:pPr>
        <w:spacing w:after="0"/>
        <w:jc w:val="center"/>
        <w:rPr>
          <w:rFonts w:ascii="Arial" w:hAnsi="Arial" w:eastAsia="Arial" w:cs="Arial"/>
        </w:rPr>
      </w:pPr>
      <w:r w:rsidRPr="20CDD690">
        <w:rPr>
          <w:rFonts w:ascii="Arial" w:hAnsi="Arial" w:eastAsia="Arial" w:cs="Arial"/>
        </w:rPr>
        <w:t xml:space="preserve">Where possible please specify DHDP best practices and standards </w:t>
      </w:r>
    </w:p>
    <w:p w:rsidR="604E8C2F" w:rsidP="20CDD690" w:rsidRDefault="604E8C2F" w14:paraId="0F626189" w14:textId="4AC874D8">
      <w:pPr>
        <w:jc w:val="center"/>
        <w:rPr>
          <w:rFonts w:ascii="Arial" w:hAnsi="Arial" w:eastAsia="Arial" w:cs="Arial"/>
        </w:rPr>
      </w:pPr>
      <w:r w:rsidRPr="20CDD690">
        <w:rPr>
          <w:rFonts w:ascii="Arial" w:hAnsi="Arial" w:eastAsia="Arial" w:cs="Arial"/>
        </w:rPr>
        <w:t>(</w:t>
      </w:r>
      <w:hyperlink r:id="rId10">
        <w:r w:rsidRPr="20CDD690">
          <w:rPr>
            <w:rStyle w:val="Hyperlink"/>
            <w:rFonts w:ascii="Arial" w:hAnsi="Arial" w:eastAsia="Arial" w:cs="Arial"/>
            <w:b/>
            <w:bCs/>
          </w:rPr>
          <w:t>FAIR</w:t>
        </w:r>
      </w:hyperlink>
      <w:r w:rsidRPr="20CDD690">
        <w:rPr>
          <w:rFonts w:ascii="Arial" w:hAnsi="Arial" w:eastAsia="Arial" w:cs="Arial"/>
          <w:b/>
          <w:bCs/>
        </w:rPr>
        <w:t xml:space="preserve"> principles, </w:t>
      </w:r>
      <w:hyperlink r:id="rId11">
        <w:r w:rsidRPr="20CDD690">
          <w:rPr>
            <w:rStyle w:val="Hyperlink"/>
            <w:rFonts w:ascii="Arial" w:hAnsi="Arial" w:eastAsia="Arial" w:cs="Arial"/>
            <w:b/>
            <w:bCs/>
          </w:rPr>
          <w:t>OMOP</w:t>
        </w:r>
      </w:hyperlink>
      <w:r w:rsidRPr="20CDD690" w:rsidR="038721BA">
        <w:rPr>
          <w:rFonts w:ascii="Arial" w:hAnsi="Arial" w:eastAsia="Arial" w:cs="Arial"/>
          <w:b/>
          <w:bCs/>
        </w:rPr>
        <w:t xml:space="preserve"> </w:t>
      </w:r>
      <w:r w:rsidRPr="20CDD690" w:rsidR="032949BF">
        <w:rPr>
          <w:rFonts w:ascii="Arial" w:hAnsi="Arial" w:eastAsia="Arial" w:cs="Arial"/>
          <w:b/>
          <w:bCs/>
        </w:rPr>
        <w:t>CDM</w:t>
      </w:r>
      <w:r w:rsidRPr="20CDD690">
        <w:rPr>
          <w:rFonts w:ascii="Arial" w:hAnsi="Arial" w:eastAsia="Arial" w:cs="Arial"/>
          <w:b/>
          <w:bCs/>
        </w:rPr>
        <w:t xml:space="preserve">, </w:t>
      </w:r>
      <w:hyperlink r:id="rId12">
        <w:r w:rsidRPr="20CDD690">
          <w:rPr>
            <w:rStyle w:val="Hyperlink"/>
            <w:rFonts w:ascii="Arial" w:hAnsi="Arial" w:eastAsia="Arial" w:cs="Arial"/>
            <w:b/>
            <w:bCs/>
          </w:rPr>
          <w:t>Flower AI</w:t>
        </w:r>
      </w:hyperlink>
      <w:r w:rsidRPr="20CDD690" w:rsidR="238908C1">
        <w:rPr>
          <w:rFonts w:ascii="Arial" w:hAnsi="Arial" w:eastAsia="Arial" w:cs="Arial"/>
        </w:rPr>
        <w:t xml:space="preserve"> </w:t>
      </w:r>
      <w:r w:rsidRPr="20CDD690" w:rsidR="238908C1">
        <w:rPr>
          <w:rFonts w:ascii="Arial" w:hAnsi="Arial" w:eastAsia="Arial" w:cs="Arial"/>
          <w:b/>
          <w:bCs/>
        </w:rPr>
        <w:t>framework</w:t>
      </w:r>
      <w:r w:rsidRPr="20CDD690">
        <w:rPr>
          <w:rFonts w:ascii="Arial" w:hAnsi="Arial" w:eastAsia="Arial" w:cs="Arial"/>
        </w:rPr>
        <w:t>).</w:t>
      </w:r>
    </w:p>
    <w:tbl>
      <w:tblPr>
        <w:tblStyle w:val="TableGrid"/>
        <w:tblW w:w="9360" w:type="dxa"/>
        <w:tblLayout w:type="fixed"/>
        <w:tblLook w:val="06A0" w:firstRow="1" w:lastRow="0" w:firstColumn="1" w:lastColumn="0" w:noHBand="1" w:noVBand="1"/>
      </w:tblPr>
      <w:tblGrid>
        <w:gridCol w:w="4695"/>
        <w:gridCol w:w="4665"/>
      </w:tblGrid>
      <w:tr w:rsidR="4E3B1895" w:rsidTr="0453C5FD" w14:paraId="219FEAD0" w14:textId="77777777">
        <w:trPr>
          <w:trHeight w:val="300"/>
        </w:trPr>
        <w:tc>
          <w:tcPr>
            <w:tcW w:w="9360" w:type="dxa"/>
            <w:gridSpan w:val="2"/>
            <w:shd w:val="clear" w:color="auto" w:fill="00879D"/>
          </w:tcPr>
          <w:p w:rsidR="5DD8E99F" w:rsidP="20CDD690" w:rsidRDefault="57FAB38A" w14:paraId="769246AE" w14:textId="72951005">
            <w:pPr>
              <w:pStyle w:val="Subtitle"/>
              <w:keepNext/>
              <w:keepLines/>
              <w:rPr>
                <w:rFonts w:ascii="Arial" w:hAnsi="Arial" w:eastAsia="Arial" w:cs="Arial"/>
                <w:b/>
                <w:bCs/>
                <w:color w:val="FFFFFF" w:themeColor="background1"/>
              </w:rPr>
            </w:pPr>
            <w:r w:rsidRPr="20CDD690">
              <w:rPr>
                <w:rFonts w:ascii="Arial" w:hAnsi="Arial" w:eastAsia="Arial" w:cs="Arial"/>
                <w:b/>
                <w:bCs/>
                <w:color w:val="FFFFFF" w:themeColor="background1"/>
              </w:rPr>
              <w:t>Data characteristics</w:t>
            </w:r>
          </w:p>
        </w:tc>
      </w:tr>
      <w:tr w:rsidR="13FF0DBE" w:rsidTr="0453C5FD" w14:paraId="51D14049" w14:textId="77777777">
        <w:trPr>
          <w:trHeight w:val="300"/>
        </w:trPr>
        <w:tc>
          <w:tcPr>
            <w:tcW w:w="4695" w:type="dxa"/>
          </w:tcPr>
          <w:p w:rsidRPr="00690721" w:rsidR="13FF0DBE" w:rsidP="20CDD690" w:rsidRDefault="78C42714" w14:paraId="58FC8BF0" w14:textId="3A3ECC03">
            <w:pPr>
              <w:rPr>
                <w:rFonts w:ascii="Arial" w:hAnsi="Arial" w:eastAsia="Arial" w:cs="Arial"/>
                <w:b/>
                <w:bCs/>
              </w:rPr>
            </w:pPr>
            <w:r w:rsidRPr="20CDD690">
              <w:rPr>
                <w:rFonts w:ascii="Arial" w:hAnsi="Arial" w:eastAsia="Arial" w:cs="Arial"/>
                <w:b/>
                <w:bCs/>
              </w:rPr>
              <w:t>Disease Domain</w:t>
            </w:r>
          </w:p>
        </w:tc>
        <w:tc>
          <w:tcPr>
            <w:tcW w:w="4665" w:type="dxa"/>
          </w:tcPr>
          <w:p w:rsidR="13FF0DBE" w:rsidP="20CDD690" w:rsidRDefault="3EAD4604" w14:paraId="0E04DC18" w14:textId="3E09BC6D">
            <w:pPr>
              <w:rPr>
                <w:rFonts w:ascii="Arial" w:hAnsi="Arial" w:eastAsia="Arial" w:cs="Arial"/>
                <w:color w:val="808080" w:themeColor="background1" w:themeShade="80"/>
              </w:rPr>
            </w:pPr>
            <w:r w:rsidRPr="20CDD690">
              <w:rPr>
                <w:rFonts w:ascii="Arial" w:hAnsi="Arial" w:eastAsia="Arial" w:cs="Arial"/>
                <w:color w:val="808080" w:themeColor="background1" w:themeShade="80"/>
              </w:rPr>
              <w:t>e.g., oncology</w:t>
            </w:r>
          </w:p>
        </w:tc>
      </w:tr>
      <w:tr w:rsidR="13FF0DBE" w:rsidTr="0453C5FD" w14:paraId="2EAE1597" w14:textId="77777777">
        <w:trPr>
          <w:trHeight w:val="300"/>
        </w:trPr>
        <w:tc>
          <w:tcPr>
            <w:tcW w:w="4695" w:type="dxa"/>
          </w:tcPr>
          <w:p w:rsidRPr="00690721" w:rsidR="13FF0DBE" w:rsidP="20CDD690" w:rsidRDefault="78C42714" w14:paraId="2733A289" w14:textId="2AD17FA3">
            <w:pPr>
              <w:rPr>
                <w:rFonts w:ascii="Arial" w:hAnsi="Arial" w:eastAsia="Arial" w:cs="Arial"/>
                <w:b/>
                <w:bCs/>
              </w:rPr>
            </w:pPr>
            <w:r w:rsidRPr="20CDD690">
              <w:rPr>
                <w:rFonts w:ascii="Arial" w:hAnsi="Arial" w:eastAsia="Arial" w:cs="Arial"/>
                <w:b/>
                <w:bCs/>
              </w:rPr>
              <w:t>Type</w:t>
            </w:r>
            <w:r w:rsidRPr="20CDD690" w:rsidR="402191B8">
              <w:rPr>
                <w:rFonts w:ascii="Arial" w:hAnsi="Arial" w:eastAsia="Arial" w:cs="Arial"/>
                <w:b/>
                <w:bCs/>
              </w:rPr>
              <w:t>(s)</w:t>
            </w:r>
            <w:r w:rsidRPr="20CDD690">
              <w:rPr>
                <w:rFonts w:ascii="Arial" w:hAnsi="Arial" w:eastAsia="Arial" w:cs="Arial"/>
                <w:b/>
                <w:bCs/>
              </w:rPr>
              <w:t xml:space="preserve"> of data</w:t>
            </w:r>
          </w:p>
        </w:tc>
        <w:tc>
          <w:tcPr>
            <w:tcW w:w="4665" w:type="dxa"/>
          </w:tcPr>
          <w:p w:rsidR="13FF0DBE" w:rsidP="20CDD690" w:rsidRDefault="78C42714" w14:paraId="43AE7EA4" w14:textId="1E3AA5F5">
            <w:pPr>
              <w:rPr>
                <w:rFonts w:ascii="Arial" w:hAnsi="Arial" w:eastAsia="Arial" w:cs="Arial"/>
                <w:color w:val="808080" w:themeColor="background1" w:themeShade="80"/>
              </w:rPr>
            </w:pPr>
            <w:r w:rsidRPr="20CDD690">
              <w:rPr>
                <w:rFonts w:ascii="Arial" w:hAnsi="Arial" w:eastAsia="Arial" w:cs="Arial"/>
                <w:color w:val="808080" w:themeColor="background1" w:themeShade="80"/>
              </w:rPr>
              <w:t>e.g., clinical</w:t>
            </w:r>
          </w:p>
        </w:tc>
      </w:tr>
      <w:tr w:rsidR="6E90BF14" w:rsidTr="0453C5FD" w14:paraId="3E3AFB02" w14:textId="77777777">
        <w:trPr>
          <w:trHeight w:val="300"/>
        </w:trPr>
        <w:tc>
          <w:tcPr>
            <w:tcW w:w="4695" w:type="dxa"/>
          </w:tcPr>
          <w:p w:rsidRPr="00690721" w:rsidR="6E90BF14" w:rsidP="20CDD690" w:rsidRDefault="379C2002" w14:paraId="31213C12" w14:textId="19405E5F">
            <w:pPr>
              <w:rPr>
                <w:rFonts w:ascii="Arial" w:hAnsi="Arial" w:eastAsia="Arial" w:cs="Arial"/>
                <w:b/>
                <w:bCs/>
              </w:rPr>
            </w:pPr>
            <w:r w:rsidRPr="20CDD690">
              <w:rPr>
                <w:rFonts w:ascii="Arial" w:hAnsi="Arial" w:eastAsia="Arial" w:cs="Arial"/>
                <w:b/>
                <w:bCs/>
              </w:rPr>
              <w:t>Data provider(s)</w:t>
            </w:r>
            <w:r w:rsidRPr="20CDD690" w:rsidR="543A937D">
              <w:rPr>
                <w:rFonts w:ascii="Arial" w:hAnsi="Arial" w:eastAsia="Arial" w:cs="Arial"/>
                <w:b/>
                <w:bCs/>
              </w:rPr>
              <w:t xml:space="preserve"> being</w:t>
            </w:r>
            <w:r w:rsidRPr="20CDD690">
              <w:rPr>
                <w:rFonts w:ascii="Arial" w:hAnsi="Arial" w:eastAsia="Arial" w:cs="Arial"/>
                <w:b/>
                <w:bCs/>
              </w:rPr>
              <w:t xml:space="preserve"> organizations where data is sourced.</w:t>
            </w:r>
          </w:p>
        </w:tc>
        <w:tc>
          <w:tcPr>
            <w:tcW w:w="4665" w:type="dxa"/>
          </w:tcPr>
          <w:p w:rsidR="6E90BF14" w:rsidP="20CDD690" w:rsidRDefault="405681E9" w14:paraId="5CE05F96" w14:textId="01E87C2A">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w:t>
            </w:r>
            <w:r w:rsidRPr="20CDD690" w:rsidR="2FDEBECF">
              <w:rPr>
                <w:rFonts w:ascii="Arial" w:hAnsi="Arial" w:eastAsia="Arial" w:cs="Arial"/>
                <w:color w:val="808080" w:themeColor="background1" w:themeShade="80"/>
              </w:rPr>
              <w:t>Hospital A</w:t>
            </w:r>
          </w:p>
        </w:tc>
      </w:tr>
      <w:tr w:rsidR="6E90BF14" w:rsidTr="0453C5FD" w14:paraId="0BE9A93D" w14:textId="77777777">
        <w:trPr>
          <w:trHeight w:val="300"/>
        </w:trPr>
        <w:tc>
          <w:tcPr>
            <w:tcW w:w="4695" w:type="dxa"/>
          </w:tcPr>
          <w:p w:rsidRPr="00690721" w:rsidR="6E90BF14" w:rsidP="20CDD690" w:rsidRDefault="379C2002" w14:paraId="1AF5EC30" w14:textId="218C05A9">
            <w:pPr>
              <w:rPr>
                <w:rFonts w:ascii="Arial" w:hAnsi="Arial" w:eastAsia="Arial" w:cs="Arial"/>
                <w:b/>
                <w:bCs/>
              </w:rPr>
            </w:pPr>
            <w:r w:rsidRPr="20CDD690">
              <w:rPr>
                <w:rFonts w:ascii="Arial" w:hAnsi="Arial" w:eastAsia="Arial" w:cs="Arial"/>
                <w:b/>
                <w:bCs/>
              </w:rPr>
              <w:t>Data source</w:t>
            </w:r>
            <w:r w:rsidRPr="20CDD690" w:rsidR="6F63431A">
              <w:rPr>
                <w:rFonts w:ascii="Arial" w:hAnsi="Arial" w:eastAsia="Arial" w:cs="Arial"/>
                <w:b/>
                <w:bCs/>
              </w:rPr>
              <w:t>(s)</w:t>
            </w:r>
          </w:p>
        </w:tc>
        <w:tc>
          <w:tcPr>
            <w:tcW w:w="4665" w:type="dxa"/>
          </w:tcPr>
          <w:p w:rsidR="6E90BF14" w:rsidP="20CDD690" w:rsidRDefault="405681E9" w14:paraId="499D4FE2" w14:textId="2E83F07A">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EHR at </w:t>
            </w:r>
            <w:r w:rsidRPr="20CDD690" w:rsidR="7175F6C7">
              <w:rPr>
                <w:rFonts w:ascii="Arial" w:hAnsi="Arial" w:eastAsia="Arial" w:cs="Arial"/>
                <w:color w:val="808080" w:themeColor="background1" w:themeShade="80"/>
              </w:rPr>
              <w:t>H</w:t>
            </w:r>
            <w:r w:rsidRPr="20CDD690">
              <w:rPr>
                <w:rFonts w:ascii="Arial" w:hAnsi="Arial" w:eastAsia="Arial" w:cs="Arial"/>
                <w:color w:val="808080" w:themeColor="background1" w:themeShade="80"/>
              </w:rPr>
              <w:t>ospital</w:t>
            </w:r>
            <w:r w:rsidRPr="20CDD690" w:rsidR="7112CFB5">
              <w:rPr>
                <w:rFonts w:ascii="Arial" w:hAnsi="Arial" w:eastAsia="Arial" w:cs="Arial"/>
                <w:color w:val="808080" w:themeColor="background1" w:themeShade="80"/>
              </w:rPr>
              <w:t xml:space="preserve"> A</w:t>
            </w:r>
          </w:p>
        </w:tc>
      </w:tr>
      <w:tr w:rsidR="6E90BF14" w:rsidTr="0453C5FD" w14:paraId="7C27CE84" w14:textId="77777777">
        <w:trPr>
          <w:trHeight w:val="300"/>
        </w:trPr>
        <w:tc>
          <w:tcPr>
            <w:tcW w:w="4695" w:type="dxa"/>
          </w:tcPr>
          <w:p w:rsidRPr="00690721" w:rsidR="6E90BF14" w:rsidP="20CDD690" w:rsidRDefault="379C2002" w14:paraId="316878C8" w14:textId="1F157F2C">
            <w:pPr>
              <w:rPr>
                <w:rFonts w:ascii="Arial" w:hAnsi="Arial" w:eastAsia="Arial" w:cs="Arial"/>
                <w:b/>
                <w:bCs/>
              </w:rPr>
            </w:pPr>
            <w:r w:rsidRPr="20CDD690">
              <w:rPr>
                <w:rFonts w:ascii="Arial" w:hAnsi="Arial" w:eastAsia="Arial" w:cs="Arial"/>
                <w:b/>
                <w:bCs/>
              </w:rPr>
              <w:t>Dataset size</w:t>
            </w:r>
            <w:r w:rsidRPr="20CDD690" w:rsidR="4F66F3E3">
              <w:rPr>
                <w:rFonts w:ascii="Arial" w:hAnsi="Arial" w:eastAsia="Arial" w:cs="Arial"/>
                <w:b/>
                <w:bCs/>
              </w:rPr>
              <w:t xml:space="preserve"> (n)</w:t>
            </w:r>
          </w:p>
          <w:p w:rsidRPr="00690721" w:rsidR="6E90BF14" w:rsidP="20CDD690" w:rsidRDefault="19083C9A" w14:paraId="15D9A0BE" w14:textId="6822A19A">
            <w:pPr>
              <w:rPr>
                <w:rFonts w:ascii="Arial" w:hAnsi="Arial" w:eastAsia="Arial" w:cs="Arial"/>
              </w:rPr>
            </w:pPr>
            <w:r w:rsidRPr="20CDD690">
              <w:rPr>
                <w:rFonts w:ascii="Arial" w:hAnsi="Arial" w:eastAsia="Arial" w:cs="Arial"/>
              </w:rPr>
              <w:t>Please include total and</w:t>
            </w:r>
            <w:r w:rsidRPr="20CDD690" w:rsidR="5A9DF635">
              <w:rPr>
                <w:rFonts w:ascii="Arial" w:hAnsi="Arial" w:eastAsia="Arial" w:cs="Arial"/>
              </w:rPr>
              <w:t xml:space="preserve"> a</w:t>
            </w:r>
            <w:r w:rsidRPr="20CDD690">
              <w:rPr>
                <w:rFonts w:ascii="Arial" w:hAnsi="Arial" w:eastAsia="Arial" w:cs="Arial"/>
              </w:rPr>
              <w:t xml:space="preserve"> breakdown by data type or disease domain if </w:t>
            </w:r>
            <w:r w:rsidRPr="20CDD690" w:rsidR="663D0656">
              <w:rPr>
                <w:rFonts w:ascii="Arial" w:hAnsi="Arial" w:eastAsia="Arial" w:cs="Arial"/>
              </w:rPr>
              <w:t>applicable</w:t>
            </w:r>
            <w:r w:rsidRPr="20CDD690">
              <w:rPr>
                <w:rFonts w:ascii="Arial" w:hAnsi="Arial" w:eastAsia="Arial" w:cs="Arial"/>
              </w:rPr>
              <w:t>.</w:t>
            </w:r>
          </w:p>
        </w:tc>
        <w:tc>
          <w:tcPr>
            <w:tcW w:w="4665" w:type="dxa"/>
          </w:tcPr>
          <w:p w:rsidR="6E90BF14" w:rsidP="20CDD690" w:rsidRDefault="405681E9" w14:paraId="4B06DC76" w14:textId="79D13658">
            <w:pPr>
              <w:rPr>
                <w:rFonts w:ascii="Arial" w:hAnsi="Arial" w:eastAsia="Arial" w:cs="Arial"/>
                <w:color w:val="808080" w:themeColor="background1" w:themeShade="80"/>
              </w:rPr>
            </w:pPr>
            <w:r w:rsidRPr="20CDD690">
              <w:rPr>
                <w:rFonts w:ascii="Arial" w:hAnsi="Arial" w:eastAsia="Arial" w:cs="Arial"/>
                <w:color w:val="808080" w:themeColor="background1" w:themeShade="80"/>
              </w:rPr>
              <w:t>e.g., 10 000</w:t>
            </w:r>
          </w:p>
        </w:tc>
      </w:tr>
      <w:tr w:rsidR="6E90BF14" w:rsidTr="0453C5FD" w14:paraId="72569F89" w14:textId="77777777">
        <w:trPr>
          <w:trHeight w:val="300"/>
        </w:trPr>
        <w:tc>
          <w:tcPr>
            <w:tcW w:w="4695" w:type="dxa"/>
          </w:tcPr>
          <w:p w:rsidRPr="00690721" w:rsidR="6E90BF14" w:rsidP="20CDD690" w:rsidRDefault="5B337454" w14:paraId="4F624D20" w14:textId="1A98B043">
            <w:pPr>
              <w:rPr>
                <w:rFonts w:ascii="Arial" w:hAnsi="Arial" w:eastAsia="Arial" w:cs="Arial"/>
                <w:b/>
                <w:bCs/>
              </w:rPr>
            </w:pPr>
            <w:r w:rsidRPr="20CDD690">
              <w:rPr>
                <w:rFonts w:ascii="Arial" w:hAnsi="Arial" w:eastAsia="Arial" w:cs="Arial"/>
                <w:b/>
                <w:bCs/>
              </w:rPr>
              <w:t>How is a data point defined?</w:t>
            </w:r>
          </w:p>
        </w:tc>
        <w:tc>
          <w:tcPr>
            <w:tcW w:w="4665" w:type="dxa"/>
          </w:tcPr>
          <w:p w:rsidR="6E90BF14" w:rsidP="20CDD690" w:rsidRDefault="5B337454" w14:paraId="7330BF63" w14:textId="6739A1FB">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1 </w:t>
            </w:r>
            <w:r w:rsidRPr="20CDD690" w:rsidR="56AF1FCE">
              <w:rPr>
                <w:rFonts w:ascii="Arial" w:hAnsi="Arial" w:eastAsia="Arial" w:cs="Arial"/>
                <w:color w:val="808080" w:themeColor="background1" w:themeShade="80"/>
              </w:rPr>
              <w:t>patient</w:t>
            </w:r>
            <w:r w:rsidRPr="20CDD690" w:rsidR="22B99878">
              <w:rPr>
                <w:rFonts w:ascii="Arial" w:hAnsi="Arial" w:eastAsia="Arial" w:cs="Arial"/>
                <w:color w:val="808080" w:themeColor="background1" w:themeShade="80"/>
              </w:rPr>
              <w:t xml:space="preserve"> = 1 row</w:t>
            </w:r>
          </w:p>
        </w:tc>
      </w:tr>
      <w:tr w:rsidR="0074506F" w:rsidTr="0453C5FD" w14:paraId="51E6CEF7" w14:textId="77777777">
        <w:trPr>
          <w:trHeight w:val="300"/>
        </w:trPr>
        <w:tc>
          <w:tcPr>
            <w:tcW w:w="4695" w:type="dxa"/>
            <w:vAlign w:val="center"/>
          </w:tcPr>
          <w:p w:rsidRPr="00690721" w:rsidR="0074506F" w:rsidP="20CDD690" w:rsidRDefault="1C735BEA" w14:paraId="60728B58" w14:textId="7C33F17B">
            <w:pPr>
              <w:rPr>
                <w:rFonts w:ascii="Arial" w:hAnsi="Arial" w:eastAsia="Arial" w:cs="Arial"/>
              </w:rPr>
            </w:pPr>
            <w:r w:rsidRPr="0453C5FD">
              <w:rPr>
                <w:rFonts w:ascii="Arial" w:hAnsi="Arial" w:eastAsia="Arial" w:cs="Arial"/>
                <w:b/>
                <w:bCs/>
              </w:rPr>
              <w:t>R</w:t>
            </w:r>
            <w:r w:rsidRPr="0453C5FD" w:rsidR="76B36AB0">
              <w:rPr>
                <w:rFonts w:ascii="Arial" w:hAnsi="Arial" w:eastAsia="Arial" w:cs="Arial"/>
                <w:b/>
                <w:bCs/>
              </w:rPr>
              <w:t xml:space="preserve">eport the </w:t>
            </w:r>
            <w:r w:rsidRPr="0453C5FD" w:rsidR="230FA1A8">
              <w:rPr>
                <w:rFonts w:ascii="Arial" w:hAnsi="Arial" w:eastAsia="Arial" w:cs="Arial"/>
                <w:b/>
                <w:bCs/>
              </w:rPr>
              <w:t xml:space="preserve">proportion </w:t>
            </w:r>
            <w:r w:rsidRPr="0453C5FD" w:rsidR="76B36AB0">
              <w:rPr>
                <w:rFonts w:ascii="Arial" w:hAnsi="Arial" w:eastAsia="Arial" w:cs="Arial"/>
                <w:b/>
                <w:bCs/>
              </w:rPr>
              <w:t>of</w:t>
            </w:r>
            <w:r w:rsidRPr="0453C5FD" w:rsidR="0F07E8D1">
              <w:rPr>
                <w:rFonts w:ascii="Arial" w:hAnsi="Arial" w:eastAsia="Arial" w:cs="Arial"/>
                <w:b/>
                <w:bCs/>
              </w:rPr>
              <w:t xml:space="preserve"> data currently </w:t>
            </w:r>
            <w:r w:rsidRPr="0453C5FD" w:rsidR="6B542A51">
              <w:rPr>
                <w:rFonts w:ascii="Arial" w:hAnsi="Arial" w:eastAsia="Arial" w:cs="Arial"/>
                <w:b/>
                <w:bCs/>
              </w:rPr>
              <w:t>structured</w:t>
            </w:r>
            <w:r w:rsidRPr="0453C5FD" w:rsidR="22BF057F">
              <w:rPr>
                <w:rFonts w:ascii="Arial" w:hAnsi="Arial" w:eastAsia="Arial" w:cs="Arial"/>
                <w:b/>
                <w:bCs/>
              </w:rPr>
              <w:t xml:space="preserve"> into the</w:t>
            </w:r>
            <w:r w:rsidRPr="0453C5FD" w:rsidR="0F07E8D1">
              <w:rPr>
                <w:rFonts w:ascii="Arial" w:hAnsi="Arial" w:eastAsia="Arial" w:cs="Arial"/>
                <w:b/>
                <w:bCs/>
              </w:rPr>
              <w:t xml:space="preserve"> </w:t>
            </w:r>
            <w:hyperlink r:id="rId13">
              <w:r w:rsidRPr="0453C5FD" w:rsidR="0F07E8D1">
                <w:rPr>
                  <w:rStyle w:val="Hyperlink"/>
                  <w:rFonts w:ascii="Arial" w:hAnsi="Arial" w:eastAsia="Arial" w:cs="Arial"/>
                  <w:b/>
                  <w:bCs/>
                </w:rPr>
                <w:t xml:space="preserve">OMOP </w:t>
              </w:r>
              <w:r w:rsidRPr="0453C5FD" w:rsidR="3F0CA1D7">
                <w:rPr>
                  <w:rStyle w:val="Hyperlink"/>
                  <w:rFonts w:ascii="Arial" w:hAnsi="Arial" w:eastAsia="Arial" w:cs="Arial"/>
                  <w:b/>
                  <w:bCs/>
                </w:rPr>
                <w:t>Common Data Model</w:t>
              </w:r>
              <w:r w:rsidRPr="0453C5FD" w:rsidR="276E86DC">
                <w:rPr>
                  <w:rStyle w:val="Hyperlink"/>
                  <w:rFonts w:ascii="Arial" w:hAnsi="Arial" w:eastAsia="Arial" w:cs="Arial"/>
                  <w:b/>
                  <w:bCs/>
                </w:rPr>
                <w:t xml:space="preserve"> (CDM)</w:t>
              </w:r>
              <w:r w:rsidRPr="0453C5FD" w:rsidR="18284486">
                <w:rPr>
                  <w:rStyle w:val="Hyperlink"/>
                  <w:rFonts w:ascii="Arial" w:hAnsi="Arial" w:eastAsia="Arial" w:cs="Arial"/>
                  <w:b/>
                  <w:bCs/>
                </w:rPr>
                <w:t>.</w:t>
              </w:r>
            </w:hyperlink>
            <w:r w:rsidRPr="0453C5FD" w:rsidR="3EB05847">
              <w:rPr>
                <w:rFonts w:ascii="Arial" w:hAnsi="Arial" w:eastAsia="Arial" w:cs="Arial"/>
                <w:b/>
                <w:bCs/>
              </w:rPr>
              <w:t xml:space="preserve"> </w:t>
            </w:r>
            <w:r w:rsidRPr="0453C5FD" w:rsidR="3EB05847">
              <w:rPr>
                <w:rFonts w:ascii="Arial" w:hAnsi="Arial" w:eastAsia="Arial" w:cs="Arial"/>
              </w:rPr>
              <w:t>If None, write “None”.</w:t>
            </w:r>
          </w:p>
        </w:tc>
        <w:tc>
          <w:tcPr>
            <w:tcW w:w="4665" w:type="dxa"/>
          </w:tcPr>
          <w:p w:rsidRPr="13FF0DBE" w:rsidR="0074506F" w:rsidP="20CDD690" w:rsidRDefault="136F1EE8" w14:paraId="25589207" w14:textId="170B0750">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w:t>
            </w:r>
            <w:r w:rsidRPr="20CDD690" w:rsidR="1C099223">
              <w:rPr>
                <w:rFonts w:ascii="Arial" w:hAnsi="Arial" w:eastAsia="Arial" w:cs="Arial"/>
                <w:color w:val="808080" w:themeColor="background1" w:themeShade="80"/>
              </w:rPr>
              <w:t>No</w:t>
            </w:r>
            <w:r w:rsidRPr="20CDD690" w:rsidR="4E845AF4">
              <w:rPr>
                <w:rFonts w:ascii="Arial" w:hAnsi="Arial" w:eastAsia="Arial" w:cs="Arial"/>
                <w:color w:val="808080" w:themeColor="background1" w:themeShade="80"/>
              </w:rPr>
              <w:t>ne</w:t>
            </w:r>
          </w:p>
        </w:tc>
      </w:tr>
      <w:tr w:rsidR="0453C5FD" w:rsidTr="0453C5FD" w14:paraId="5B8389BE" w14:textId="77777777">
        <w:trPr>
          <w:trHeight w:val="300"/>
        </w:trPr>
        <w:tc>
          <w:tcPr>
            <w:tcW w:w="4695" w:type="dxa"/>
            <w:vAlign w:val="center"/>
          </w:tcPr>
          <w:p w:rsidR="7DDDFA6D" w:rsidP="0453C5FD" w:rsidRDefault="7DDDFA6D" w14:paraId="0A0E4E79" w14:textId="651A8265">
            <w:pPr>
              <w:rPr>
                <w:rFonts w:ascii="Arial" w:hAnsi="Arial" w:eastAsia="Arial" w:cs="Arial"/>
              </w:rPr>
            </w:pPr>
            <w:proofErr w:type="gramStart"/>
            <w:r w:rsidRPr="0453C5FD">
              <w:rPr>
                <w:rFonts w:ascii="Arial" w:hAnsi="Arial" w:eastAsia="Arial" w:cs="Arial"/>
                <w:b/>
                <w:bCs/>
              </w:rPr>
              <w:t>Report</w:t>
            </w:r>
            <w:proofErr w:type="gramEnd"/>
            <w:r w:rsidRPr="0453C5FD">
              <w:rPr>
                <w:rFonts w:ascii="Arial" w:hAnsi="Arial" w:eastAsia="Arial" w:cs="Arial"/>
                <w:b/>
                <w:bCs/>
              </w:rPr>
              <w:t xml:space="preserve"> the proportion of data currently de-identified. </w:t>
            </w:r>
            <w:r w:rsidRPr="0453C5FD" w:rsidR="75B7D4B5">
              <w:rPr>
                <w:rFonts w:ascii="Arial" w:hAnsi="Arial" w:eastAsia="Arial" w:cs="Arial"/>
              </w:rPr>
              <w:t>If None, write “None”.</w:t>
            </w:r>
          </w:p>
        </w:tc>
        <w:tc>
          <w:tcPr>
            <w:tcW w:w="4665" w:type="dxa"/>
          </w:tcPr>
          <w:p w:rsidR="75B7D4B5" w:rsidP="0453C5FD" w:rsidRDefault="75B7D4B5" w14:paraId="7EAAFE03" w14:textId="3DCD9655">
            <w:pPr>
              <w:rPr>
                <w:rFonts w:ascii="Arial" w:hAnsi="Arial" w:eastAsia="Arial" w:cs="Arial"/>
                <w:color w:val="808080" w:themeColor="background1" w:themeShade="80"/>
              </w:rPr>
            </w:pPr>
            <w:r w:rsidRPr="0453C5FD">
              <w:rPr>
                <w:rFonts w:ascii="Arial" w:hAnsi="Arial" w:eastAsia="Arial" w:cs="Arial"/>
                <w:color w:val="808080" w:themeColor="background1" w:themeShade="80"/>
              </w:rPr>
              <w:t>e.g., 100% de-identified dataset</w:t>
            </w:r>
          </w:p>
        </w:tc>
      </w:tr>
      <w:tr w:rsidR="20CDD690" w:rsidTr="0453C5FD" w14:paraId="65D04BBE" w14:textId="77777777">
        <w:trPr>
          <w:trHeight w:val="300"/>
        </w:trPr>
        <w:tc>
          <w:tcPr>
            <w:tcW w:w="4695" w:type="dxa"/>
            <w:vAlign w:val="center"/>
          </w:tcPr>
          <w:p w:rsidR="4E845AF4" w:rsidP="20CDD690" w:rsidRDefault="48EDFE49" w14:paraId="1C32A81C" w14:textId="189716E9">
            <w:pPr>
              <w:rPr>
                <w:rFonts w:ascii="Arial" w:hAnsi="Arial" w:eastAsia="Arial" w:cs="Arial"/>
                <w:b/>
                <w:bCs/>
              </w:rPr>
            </w:pPr>
            <w:r w:rsidRPr="0453C5FD">
              <w:rPr>
                <w:rFonts w:ascii="Arial" w:hAnsi="Arial" w:eastAsia="Arial" w:cs="Arial"/>
                <w:b/>
                <w:bCs/>
              </w:rPr>
              <w:t>Does the project team a</w:t>
            </w:r>
            <w:r w:rsidRPr="0453C5FD" w:rsidR="1CA5AB95">
              <w:rPr>
                <w:rFonts w:ascii="Arial" w:hAnsi="Arial" w:eastAsia="Arial" w:cs="Arial"/>
                <w:b/>
                <w:bCs/>
              </w:rPr>
              <w:t xml:space="preserve">ttest </w:t>
            </w:r>
            <w:r w:rsidRPr="0453C5FD">
              <w:rPr>
                <w:rFonts w:ascii="Arial" w:hAnsi="Arial" w:eastAsia="Arial" w:cs="Arial"/>
                <w:b/>
                <w:bCs/>
              </w:rPr>
              <w:t>to</w:t>
            </w:r>
            <w:r w:rsidRPr="0453C5FD" w:rsidR="49CB4C17">
              <w:rPr>
                <w:rFonts w:ascii="Arial" w:hAnsi="Arial" w:eastAsia="Arial" w:cs="Arial"/>
                <w:b/>
                <w:bCs/>
              </w:rPr>
              <w:t xml:space="preserve"> deidentifying data and</w:t>
            </w:r>
            <w:r w:rsidRPr="0453C5FD">
              <w:rPr>
                <w:rFonts w:ascii="Arial" w:hAnsi="Arial" w:eastAsia="Arial" w:cs="Arial"/>
                <w:b/>
                <w:bCs/>
              </w:rPr>
              <w:t xml:space="preserve"> structur</w:t>
            </w:r>
            <w:r w:rsidRPr="0453C5FD" w:rsidR="5E2B7CD6">
              <w:rPr>
                <w:rFonts w:ascii="Arial" w:hAnsi="Arial" w:eastAsia="Arial" w:cs="Arial"/>
                <w:b/>
                <w:bCs/>
              </w:rPr>
              <w:t>ing</w:t>
            </w:r>
            <w:r w:rsidRPr="0453C5FD">
              <w:rPr>
                <w:rFonts w:ascii="Arial" w:hAnsi="Arial" w:eastAsia="Arial" w:cs="Arial"/>
                <w:b/>
                <w:bCs/>
              </w:rPr>
              <w:t xml:space="preserve"> into</w:t>
            </w:r>
            <w:r w:rsidRPr="0453C5FD" w:rsidR="1A7834FD">
              <w:rPr>
                <w:rFonts w:ascii="Arial" w:hAnsi="Arial" w:eastAsia="Arial" w:cs="Arial"/>
                <w:b/>
                <w:bCs/>
              </w:rPr>
              <w:t xml:space="preserve"> </w:t>
            </w:r>
            <w:r w:rsidRPr="0453C5FD" w:rsidR="2C67DD16">
              <w:rPr>
                <w:rFonts w:ascii="Arial" w:hAnsi="Arial" w:eastAsia="Arial" w:cs="Arial"/>
                <w:b/>
                <w:bCs/>
              </w:rPr>
              <w:t xml:space="preserve">the </w:t>
            </w:r>
            <w:r w:rsidRPr="0453C5FD">
              <w:rPr>
                <w:rFonts w:ascii="Arial" w:hAnsi="Arial" w:eastAsia="Arial" w:cs="Arial"/>
                <w:b/>
                <w:bCs/>
              </w:rPr>
              <w:t>OMOP</w:t>
            </w:r>
            <w:r w:rsidRPr="0453C5FD" w:rsidR="37195636">
              <w:rPr>
                <w:rFonts w:ascii="Arial" w:hAnsi="Arial" w:eastAsia="Arial" w:cs="Arial"/>
                <w:b/>
                <w:bCs/>
              </w:rPr>
              <w:t xml:space="preserve"> </w:t>
            </w:r>
            <w:r w:rsidRPr="0453C5FD" w:rsidR="24C99E78">
              <w:rPr>
                <w:rFonts w:ascii="Arial" w:hAnsi="Arial" w:eastAsia="Arial" w:cs="Arial"/>
                <w:b/>
                <w:bCs/>
              </w:rPr>
              <w:t xml:space="preserve">CDM </w:t>
            </w:r>
            <w:r w:rsidRPr="0453C5FD" w:rsidR="23ADF245">
              <w:rPr>
                <w:rFonts w:ascii="Arial" w:hAnsi="Arial" w:eastAsia="Arial" w:cs="Arial"/>
                <w:b/>
                <w:bCs/>
              </w:rPr>
              <w:t>so it can then be shared through the DHDP Platform</w:t>
            </w:r>
            <w:r w:rsidRPr="0453C5FD">
              <w:rPr>
                <w:rFonts w:ascii="Arial" w:hAnsi="Arial" w:eastAsia="Arial" w:cs="Arial"/>
                <w:b/>
                <w:bCs/>
              </w:rPr>
              <w:t>?</w:t>
            </w:r>
          </w:p>
        </w:tc>
        <w:tc>
          <w:tcPr>
            <w:tcW w:w="4665" w:type="dxa"/>
          </w:tcPr>
          <w:p w:rsidR="62680BFB" w:rsidP="20CDD690" w:rsidRDefault="62680BFB" w14:paraId="4D8F7D6A" w14:textId="6CA0A3EB">
            <w:pPr>
              <w:rPr>
                <w:rFonts w:ascii="Arial" w:hAnsi="Arial" w:eastAsia="Arial" w:cs="Arial"/>
                <w:color w:val="808080" w:themeColor="background1" w:themeShade="80"/>
              </w:rPr>
            </w:pPr>
            <w:r w:rsidRPr="20CDD690">
              <w:rPr>
                <w:rFonts w:ascii="Arial" w:hAnsi="Arial" w:eastAsia="Arial" w:cs="Arial"/>
                <w:color w:val="808080" w:themeColor="background1" w:themeShade="80"/>
              </w:rPr>
              <w:t>e.g., Yes</w:t>
            </w:r>
          </w:p>
        </w:tc>
      </w:tr>
      <w:tr w:rsidR="002062C1" w:rsidTr="0453C5FD" w14:paraId="35B3157B" w14:textId="77777777">
        <w:trPr>
          <w:trHeight w:val="300"/>
        </w:trPr>
        <w:tc>
          <w:tcPr>
            <w:tcW w:w="4695" w:type="dxa"/>
            <w:vAlign w:val="center"/>
          </w:tcPr>
          <w:p w:rsidR="002062C1" w:rsidP="20CDD690" w:rsidRDefault="24C07470" w14:paraId="7C14E333" w14:textId="4011AC7A">
            <w:pPr>
              <w:rPr>
                <w:rFonts w:ascii="Arial" w:hAnsi="Arial" w:eastAsia="Arial" w:cs="Arial"/>
                <w:b/>
                <w:bCs/>
              </w:rPr>
            </w:pPr>
            <w:r w:rsidRPr="20CDD690">
              <w:rPr>
                <w:rFonts w:ascii="Arial" w:hAnsi="Arial" w:eastAsia="Arial" w:cs="Arial"/>
                <w:b/>
                <w:bCs/>
              </w:rPr>
              <w:t>Wh</w:t>
            </w:r>
            <w:r w:rsidRPr="20CDD690" w:rsidR="11153525">
              <w:rPr>
                <w:rFonts w:ascii="Arial" w:hAnsi="Arial" w:eastAsia="Arial" w:cs="Arial"/>
                <w:b/>
                <w:bCs/>
              </w:rPr>
              <w:t>at other</w:t>
            </w:r>
            <w:r w:rsidRPr="20CDD690" w:rsidR="26704FCB">
              <w:rPr>
                <w:rFonts w:ascii="Arial" w:hAnsi="Arial" w:eastAsia="Arial" w:cs="Arial"/>
                <w:b/>
                <w:bCs/>
              </w:rPr>
              <w:t xml:space="preserve"> s</w:t>
            </w:r>
            <w:r w:rsidRPr="20CDD690">
              <w:rPr>
                <w:rFonts w:ascii="Arial" w:hAnsi="Arial" w:eastAsia="Arial" w:cs="Arial"/>
                <w:b/>
                <w:bCs/>
              </w:rPr>
              <w:t xml:space="preserve">tandards are currently used? </w:t>
            </w:r>
            <w:r w:rsidRPr="20CDD690">
              <w:rPr>
                <w:rFonts w:ascii="Arial" w:hAnsi="Arial" w:eastAsia="Arial" w:cs="Arial"/>
              </w:rPr>
              <w:t>Write "None" if no standards are used.</w:t>
            </w:r>
          </w:p>
        </w:tc>
        <w:tc>
          <w:tcPr>
            <w:tcW w:w="4665" w:type="dxa"/>
          </w:tcPr>
          <w:p w:rsidR="002062C1" w:rsidP="20CDD690" w:rsidRDefault="24C07470" w14:paraId="485D131D" w14:textId="0D8F864B">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w:t>
            </w:r>
            <w:proofErr w:type="spellStart"/>
            <w:r w:rsidRPr="20CDD690" w:rsidR="64305246">
              <w:rPr>
                <w:rFonts w:ascii="Arial" w:hAnsi="Arial" w:eastAsia="Arial" w:cs="Arial"/>
                <w:color w:val="808080" w:themeColor="background1" w:themeShade="80"/>
              </w:rPr>
              <w:t>m</w:t>
            </w:r>
            <w:r w:rsidRPr="20CDD690">
              <w:rPr>
                <w:rFonts w:ascii="Arial" w:hAnsi="Arial" w:eastAsia="Arial" w:cs="Arial"/>
                <w:color w:val="808080" w:themeColor="background1" w:themeShade="80"/>
              </w:rPr>
              <w:t>CODE</w:t>
            </w:r>
            <w:proofErr w:type="spellEnd"/>
          </w:p>
        </w:tc>
      </w:tr>
      <w:tr w:rsidR="002062C1" w:rsidTr="0453C5FD" w14:paraId="0256B08D" w14:textId="77777777">
        <w:trPr>
          <w:trHeight w:val="300"/>
        </w:trPr>
        <w:tc>
          <w:tcPr>
            <w:tcW w:w="4695" w:type="dxa"/>
            <w:vAlign w:val="center"/>
          </w:tcPr>
          <w:p w:rsidR="002062C1" w:rsidP="20CDD690" w:rsidRDefault="24C07470" w14:paraId="54DDCC1A" w14:textId="1489C254">
            <w:pPr>
              <w:rPr>
                <w:rFonts w:ascii="Arial" w:hAnsi="Arial" w:eastAsia="Arial" w:cs="Arial"/>
                <w:b/>
                <w:bCs/>
              </w:rPr>
            </w:pPr>
            <w:r w:rsidRPr="20CDD690">
              <w:rPr>
                <w:rFonts w:ascii="Arial" w:hAnsi="Arial" w:eastAsia="Arial" w:cs="Arial"/>
                <w:b/>
                <w:bCs/>
              </w:rPr>
              <w:t xml:space="preserve">Is the data currently being shared? </w:t>
            </w:r>
            <w:r w:rsidRPr="20CDD690">
              <w:rPr>
                <w:rFonts w:ascii="Arial" w:hAnsi="Arial" w:eastAsia="Arial" w:cs="Arial"/>
              </w:rPr>
              <w:t xml:space="preserve">If yes, how? If </w:t>
            </w:r>
            <w:r w:rsidRPr="20CDD690" w:rsidR="7E58C39E">
              <w:rPr>
                <w:rFonts w:ascii="Arial" w:hAnsi="Arial" w:eastAsia="Arial" w:cs="Arial"/>
              </w:rPr>
              <w:t>not</w:t>
            </w:r>
            <w:r w:rsidRPr="20CDD690">
              <w:rPr>
                <w:rFonts w:ascii="Arial" w:hAnsi="Arial" w:eastAsia="Arial" w:cs="Arial"/>
              </w:rPr>
              <w:t>, how will the data be accessed?</w:t>
            </w:r>
          </w:p>
        </w:tc>
        <w:tc>
          <w:tcPr>
            <w:tcW w:w="4665" w:type="dxa"/>
          </w:tcPr>
          <w:p w:rsidR="002062C1" w:rsidP="20CDD690" w:rsidRDefault="24C07470" w14:paraId="5BEBDBA8" w14:textId="6B63DD62">
            <w:pPr>
              <w:rPr>
                <w:rFonts w:ascii="Arial" w:hAnsi="Arial" w:eastAsia="Arial" w:cs="Arial"/>
                <w:color w:val="808080" w:themeColor="background1" w:themeShade="80"/>
              </w:rPr>
            </w:pPr>
            <w:r w:rsidRPr="20CDD690">
              <w:rPr>
                <w:rFonts w:ascii="Arial" w:hAnsi="Arial" w:eastAsia="Arial" w:cs="Arial"/>
                <w:color w:val="808080" w:themeColor="background1" w:themeShade="80"/>
              </w:rPr>
              <w:t xml:space="preserve">e.g., </w:t>
            </w:r>
            <w:r w:rsidRPr="20CDD690" w:rsidR="2142872B">
              <w:rPr>
                <w:rFonts w:ascii="Arial" w:hAnsi="Arial" w:eastAsia="Arial" w:cs="Arial"/>
                <w:color w:val="808080" w:themeColor="background1" w:themeShade="80"/>
              </w:rPr>
              <w:t>Yes, data sharing agreements are in place</w:t>
            </w:r>
          </w:p>
        </w:tc>
      </w:tr>
      <w:tr w:rsidR="002062C1" w:rsidTr="0453C5FD" w14:paraId="574450EC" w14:textId="77777777">
        <w:trPr>
          <w:trHeight w:val="300"/>
        </w:trPr>
        <w:tc>
          <w:tcPr>
            <w:tcW w:w="4695" w:type="dxa"/>
          </w:tcPr>
          <w:p w:rsidRPr="00690721" w:rsidR="002062C1" w:rsidP="20CDD690" w:rsidRDefault="5D8BE844" w14:paraId="30733B27" w14:textId="0766899B">
            <w:pPr>
              <w:rPr>
                <w:rFonts w:ascii="Arial" w:hAnsi="Arial" w:eastAsia="Arial" w:cs="Arial"/>
                <w:b/>
                <w:bCs/>
              </w:rPr>
            </w:pPr>
            <w:r w:rsidRPr="20CDD690">
              <w:rPr>
                <w:rFonts w:ascii="Arial" w:hAnsi="Arial" w:eastAsia="Arial" w:cs="Arial"/>
                <w:b/>
                <w:bCs/>
              </w:rPr>
              <w:t>Name and title of</w:t>
            </w:r>
            <w:r w:rsidRPr="20CDD690" w:rsidR="24C07470">
              <w:rPr>
                <w:rFonts w:ascii="Arial" w:hAnsi="Arial" w:eastAsia="Arial" w:cs="Arial"/>
                <w:b/>
                <w:bCs/>
              </w:rPr>
              <w:t xml:space="preserve"> point of contact for privacy and compliance at the data provider’s </w:t>
            </w:r>
            <w:r w:rsidRPr="20CDD690" w:rsidR="4C1EFBE2">
              <w:rPr>
                <w:rFonts w:ascii="Arial" w:hAnsi="Arial" w:eastAsia="Arial" w:cs="Arial"/>
                <w:b/>
                <w:bCs/>
              </w:rPr>
              <w:t>organiza</w:t>
            </w:r>
            <w:r w:rsidRPr="20CDD690" w:rsidR="24C07470">
              <w:rPr>
                <w:rFonts w:ascii="Arial" w:hAnsi="Arial" w:eastAsia="Arial" w:cs="Arial"/>
                <w:b/>
                <w:bCs/>
              </w:rPr>
              <w:t>tion</w:t>
            </w:r>
            <w:r w:rsidRPr="20CDD690" w:rsidR="03372FE0">
              <w:rPr>
                <w:rFonts w:ascii="Arial" w:hAnsi="Arial" w:eastAsia="Arial" w:cs="Arial"/>
                <w:b/>
                <w:bCs/>
              </w:rPr>
              <w:t>.</w:t>
            </w:r>
          </w:p>
        </w:tc>
        <w:tc>
          <w:tcPr>
            <w:tcW w:w="4665" w:type="dxa"/>
          </w:tcPr>
          <w:p w:rsidR="002062C1" w:rsidP="20CDD690" w:rsidRDefault="24C07470" w14:paraId="65AAB558" w14:textId="0D2C8B61">
            <w:pPr>
              <w:rPr>
                <w:rFonts w:ascii="Arial" w:hAnsi="Arial" w:eastAsia="Arial" w:cs="Arial"/>
                <w:color w:val="808080" w:themeColor="background1" w:themeShade="80"/>
              </w:rPr>
            </w:pPr>
            <w:r w:rsidRPr="20CDD690">
              <w:rPr>
                <w:rFonts w:ascii="Arial" w:hAnsi="Arial" w:eastAsia="Arial" w:cs="Arial"/>
                <w:color w:val="808080" w:themeColor="background1" w:themeShade="80"/>
              </w:rPr>
              <w:t>e.g., Bob Smith,</w:t>
            </w:r>
            <w:r w:rsidRPr="20CDD690" w:rsidR="1258A710">
              <w:rPr>
                <w:rFonts w:ascii="Arial" w:hAnsi="Arial" w:eastAsia="Arial" w:cs="Arial"/>
                <w:color w:val="808080" w:themeColor="background1" w:themeShade="80"/>
              </w:rPr>
              <w:t xml:space="preserve"> Chief Data </w:t>
            </w:r>
            <w:r w:rsidRPr="20CDD690" w:rsidR="3AEF8EEF">
              <w:rPr>
                <w:rFonts w:ascii="Arial" w:hAnsi="Arial" w:eastAsia="Arial" w:cs="Arial"/>
                <w:color w:val="808080" w:themeColor="background1" w:themeShade="80"/>
              </w:rPr>
              <w:t>Officer bobsmith@hotmail.ca</w:t>
            </w:r>
          </w:p>
        </w:tc>
      </w:tr>
    </w:tbl>
    <w:p w:rsidR="00B55D8D" w:rsidP="20CDD690" w:rsidRDefault="00B55D8D" w14:paraId="7732E76E" w14:textId="70462C43">
      <w:pPr>
        <w:rPr>
          <w:rFonts w:ascii="Arial" w:hAnsi="Arial" w:eastAsia="Arial" w:cs="Arial"/>
        </w:rPr>
      </w:pPr>
    </w:p>
    <w:tbl>
      <w:tblPr>
        <w:tblStyle w:val="TableGrid"/>
        <w:tblW w:w="9360" w:type="dxa"/>
        <w:tblLayout w:type="fixed"/>
        <w:tblLook w:val="06A0" w:firstRow="1" w:lastRow="0" w:firstColumn="1" w:lastColumn="0" w:noHBand="1" w:noVBand="1"/>
      </w:tblPr>
      <w:tblGrid>
        <w:gridCol w:w="4248"/>
        <w:gridCol w:w="5112"/>
      </w:tblGrid>
      <w:tr w:rsidR="4E3B1895" w:rsidTr="01491F6B" w14:paraId="36107D3B" w14:textId="77777777">
        <w:trPr>
          <w:trHeight w:val="300"/>
        </w:trPr>
        <w:tc>
          <w:tcPr>
            <w:tcW w:w="9360" w:type="dxa"/>
            <w:gridSpan w:val="2"/>
            <w:shd w:val="clear" w:color="auto" w:fill="00879D"/>
          </w:tcPr>
          <w:p w:rsidR="6D72C114" w:rsidP="20CDD690" w:rsidRDefault="14A60D4D" w14:paraId="654834BA" w14:textId="7741035D">
            <w:pPr>
              <w:pStyle w:val="Subtitle"/>
              <w:rPr>
                <w:rFonts w:ascii="Arial" w:hAnsi="Arial" w:eastAsia="Arial" w:cs="Arial"/>
                <w:b/>
                <w:bCs/>
                <w:color w:val="FFFFFF" w:themeColor="background1"/>
              </w:rPr>
            </w:pPr>
            <w:r w:rsidRPr="20CDD690">
              <w:rPr>
                <w:rFonts w:ascii="Arial" w:hAnsi="Arial" w:eastAsia="Arial" w:cs="Arial"/>
                <w:b/>
                <w:bCs/>
                <w:color w:val="FFFFFF" w:themeColor="background1"/>
              </w:rPr>
              <w:t>Data access and approval</w:t>
            </w:r>
          </w:p>
        </w:tc>
      </w:tr>
      <w:tr w:rsidR="002A61CD" w:rsidTr="01491F6B" w14:paraId="5E00052B" w14:textId="77777777">
        <w:trPr>
          <w:trHeight w:val="300"/>
        </w:trPr>
        <w:tc>
          <w:tcPr>
            <w:tcW w:w="4248" w:type="dxa"/>
          </w:tcPr>
          <w:p w:rsidRPr="00EF5156" w:rsidR="002A61CD" w:rsidP="20CDD690" w:rsidRDefault="60B0AF4D" w14:paraId="2854CB0E" w14:textId="646913DD">
            <w:pPr>
              <w:rPr>
                <w:rFonts w:ascii="Arial" w:hAnsi="Arial" w:eastAsia="Arial" w:cs="Arial"/>
                <w:b/>
                <w:bCs/>
                <w:color w:val="000000" w:themeColor="text1"/>
              </w:rPr>
            </w:pPr>
            <w:r w:rsidRPr="20CDD690">
              <w:rPr>
                <w:rFonts w:ascii="Arial" w:hAnsi="Arial" w:eastAsia="Arial" w:cs="Arial"/>
                <w:b/>
                <w:bCs/>
                <w:color w:val="000000" w:themeColor="text1"/>
              </w:rPr>
              <w:t xml:space="preserve">Is there an existing Data Access Committee </w:t>
            </w:r>
            <w:r w:rsidRPr="20CDD690" w:rsidR="509ACC76">
              <w:rPr>
                <w:rFonts w:ascii="Arial" w:hAnsi="Arial" w:eastAsia="Arial" w:cs="Arial"/>
                <w:b/>
                <w:bCs/>
                <w:color w:val="000000" w:themeColor="text1"/>
              </w:rPr>
              <w:t xml:space="preserve">(DAC) </w:t>
            </w:r>
            <w:r w:rsidRPr="20CDD690">
              <w:rPr>
                <w:rFonts w:ascii="Arial" w:hAnsi="Arial" w:eastAsia="Arial" w:cs="Arial"/>
                <w:b/>
                <w:bCs/>
                <w:color w:val="000000" w:themeColor="text1"/>
              </w:rPr>
              <w:t>in place?</w:t>
            </w:r>
          </w:p>
        </w:tc>
        <w:tc>
          <w:tcPr>
            <w:tcW w:w="5112" w:type="dxa"/>
          </w:tcPr>
          <w:p w:rsidRPr="6E90BF14" w:rsidR="002A61CD" w:rsidP="20CDD690" w:rsidRDefault="002A61CD" w14:paraId="57FE9DFE" w14:textId="7556ED85">
            <w:pPr>
              <w:rPr>
                <w:rFonts w:ascii="Arial" w:hAnsi="Arial" w:eastAsia="Arial" w:cs="Arial"/>
                <w:color w:val="000000" w:themeColor="text1"/>
              </w:rPr>
            </w:pPr>
          </w:p>
        </w:tc>
      </w:tr>
      <w:tr w:rsidR="20CDD690" w:rsidTr="01491F6B" w14:paraId="561AEF3F" w14:textId="77777777">
        <w:trPr>
          <w:trHeight w:val="300"/>
        </w:trPr>
        <w:tc>
          <w:tcPr>
            <w:tcW w:w="4248" w:type="dxa"/>
          </w:tcPr>
          <w:p w:rsidR="4F9FA2D9" w:rsidP="20CDD690" w:rsidRDefault="4F9FA2D9" w14:paraId="34D2F817" w14:textId="1E8ED4C3">
            <w:pPr>
              <w:rPr>
                <w:rFonts w:ascii="Arial" w:hAnsi="Arial" w:eastAsia="Arial" w:cs="Arial"/>
                <w:b/>
                <w:bCs/>
                <w:color w:val="000000" w:themeColor="text1"/>
              </w:rPr>
            </w:pPr>
            <w:r w:rsidRPr="20CDD690">
              <w:rPr>
                <w:rFonts w:ascii="Arial" w:hAnsi="Arial" w:eastAsia="Arial" w:cs="Arial"/>
                <w:b/>
                <w:bCs/>
                <w:color w:val="000000" w:themeColor="text1"/>
              </w:rPr>
              <w:t xml:space="preserve">If there is an existing DAC, detail the structure and process. If there is no existing DAC, </w:t>
            </w:r>
            <w:r w:rsidRPr="20CDD690" w:rsidR="5D33510A">
              <w:rPr>
                <w:rFonts w:ascii="Arial" w:hAnsi="Arial" w:eastAsia="Arial" w:cs="Arial"/>
                <w:b/>
                <w:bCs/>
                <w:color w:val="000000" w:themeColor="text1"/>
              </w:rPr>
              <w:t xml:space="preserve">how will data </w:t>
            </w:r>
            <w:r w:rsidRPr="20CDD690" w:rsidR="5D33510A">
              <w:rPr>
                <w:rFonts w:ascii="Arial" w:hAnsi="Arial" w:eastAsia="Arial" w:cs="Arial"/>
                <w:b/>
                <w:bCs/>
                <w:color w:val="000000" w:themeColor="text1"/>
              </w:rPr>
              <w:lastRenderedPageBreak/>
              <w:t>access requests be triaged and approved in an ethical manner?</w:t>
            </w:r>
          </w:p>
        </w:tc>
        <w:tc>
          <w:tcPr>
            <w:tcW w:w="5112" w:type="dxa"/>
          </w:tcPr>
          <w:p w:rsidR="20CDD690" w:rsidP="20CDD690" w:rsidRDefault="20CDD690" w14:paraId="181CAC07" w14:textId="716DE9FD">
            <w:pPr>
              <w:rPr>
                <w:rFonts w:ascii="Arial" w:hAnsi="Arial" w:eastAsia="Arial" w:cs="Arial"/>
                <w:color w:val="000000" w:themeColor="text1"/>
              </w:rPr>
            </w:pPr>
          </w:p>
        </w:tc>
      </w:tr>
      <w:tr w:rsidR="00223B76" w:rsidTr="01491F6B" w14:paraId="2F53FE18" w14:textId="77777777">
        <w:trPr>
          <w:trHeight w:val="300"/>
        </w:trPr>
        <w:tc>
          <w:tcPr>
            <w:tcW w:w="4248" w:type="dxa"/>
          </w:tcPr>
          <w:p w:rsidRPr="00223B76" w:rsidR="00223B76" w:rsidP="20CDD690" w:rsidRDefault="2AE28001" w14:paraId="50F6EE12" w14:textId="1F356B54">
            <w:pPr>
              <w:rPr>
                <w:rFonts w:ascii="Arial" w:hAnsi="Arial" w:eastAsia="Arial" w:cs="Arial"/>
                <w:b/>
                <w:bCs/>
                <w:color w:val="000000" w:themeColor="text1"/>
              </w:rPr>
            </w:pPr>
            <w:r w:rsidRPr="01491F6B">
              <w:rPr>
                <w:rFonts w:ascii="Arial" w:hAnsi="Arial" w:eastAsia="Arial" w:cs="Arial"/>
                <w:b/>
                <w:bCs/>
                <w:color w:val="000000" w:themeColor="text1"/>
              </w:rPr>
              <w:t>What is the expected turnaround time?</w:t>
            </w:r>
          </w:p>
        </w:tc>
        <w:tc>
          <w:tcPr>
            <w:tcW w:w="5112" w:type="dxa"/>
          </w:tcPr>
          <w:p w:rsidRPr="6E90BF14" w:rsidR="00223B76" w:rsidP="20CDD690" w:rsidRDefault="00223B76" w14:paraId="2C17FD0F" w14:textId="7D0DAB5F">
            <w:pPr>
              <w:rPr>
                <w:rFonts w:ascii="Arial" w:hAnsi="Arial" w:eastAsia="Arial" w:cs="Arial"/>
                <w:color w:val="000000" w:themeColor="text1"/>
              </w:rPr>
            </w:pPr>
          </w:p>
        </w:tc>
      </w:tr>
      <w:tr w:rsidR="00223B76" w:rsidTr="01491F6B" w14:paraId="20D3A7BE" w14:textId="77777777">
        <w:trPr>
          <w:trHeight w:val="300"/>
        </w:trPr>
        <w:tc>
          <w:tcPr>
            <w:tcW w:w="4248" w:type="dxa"/>
          </w:tcPr>
          <w:p w:rsidRPr="00690721" w:rsidR="00223B76" w:rsidP="20CDD690" w:rsidRDefault="2AE28001" w14:paraId="782CAF53" w14:textId="00C2D2D3">
            <w:pPr>
              <w:rPr>
                <w:rFonts w:ascii="Arial" w:hAnsi="Arial" w:eastAsia="Arial" w:cs="Arial"/>
                <w:b/>
                <w:bCs/>
                <w:color w:val="000000" w:themeColor="text1"/>
              </w:rPr>
            </w:pPr>
            <w:r w:rsidRPr="20CDD690">
              <w:rPr>
                <w:rFonts w:ascii="Arial" w:hAnsi="Arial" w:eastAsia="Arial" w:cs="Arial"/>
                <w:b/>
                <w:bCs/>
                <w:color w:val="000000" w:themeColor="text1"/>
              </w:rPr>
              <w:t xml:space="preserve">Who will be responsible for the data provider persona in DHDP to grant access through the </w:t>
            </w:r>
            <w:r w:rsidRPr="20CDD690" w:rsidR="0617576F">
              <w:rPr>
                <w:rFonts w:ascii="Arial" w:hAnsi="Arial" w:eastAsia="Arial" w:cs="Arial"/>
                <w:b/>
                <w:bCs/>
                <w:color w:val="000000" w:themeColor="text1"/>
              </w:rPr>
              <w:t>P</w:t>
            </w:r>
            <w:r w:rsidRPr="20CDD690">
              <w:rPr>
                <w:rFonts w:ascii="Arial" w:hAnsi="Arial" w:eastAsia="Arial" w:cs="Arial"/>
                <w:b/>
                <w:bCs/>
                <w:color w:val="000000" w:themeColor="text1"/>
              </w:rPr>
              <w:t>latform?</w:t>
            </w:r>
          </w:p>
        </w:tc>
        <w:tc>
          <w:tcPr>
            <w:tcW w:w="5112" w:type="dxa"/>
          </w:tcPr>
          <w:p w:rsidRPr="6E90BF14" w:rsidR="00223B76" w:rsidP="20CDD690" w:rsidRDefault="00223B76" w14:paraId="654EF32B" w14:textId="1AF79ED4">
            <w:pPr>
              <w:rPr>
                <w:rFonts w:ascii="Arial" w:hAnsi="Arial" w:eastAsia="Arial" w:cs="Arial"/>
                <w:color w:val="000000" w:themeColor="text1"/>
                <w:lang w:val="en-CA"/>
              </w:rPr>
            </w:pPr>
          </w:p>
        </w:tc>
      </w:tr>
      <w:tr w:rsidR="00992111" w:rsidTr="01491F6B" w14:paraId="699624F5" w14:textId="77777777">
        <w:trPr>
          <w:trHeight w:val="300"/>
        </w:trPr>
        <w:tc>
          <w:tcPr>
            <w:tcW w:w="4248" w:type="dxa"/>
          </w:tcPr>
          <w:p w:rsidRPr="00690721" w:rsidR="00992111" w:rsidP="20CDD690" w:rsidRDefault="5AC25696" w14:paraId="1CB8C081" w14:textId="578BE809">
            <w:pPr>
              <w:rPr>
                <w:rFonts w:ascii="Arial" w:hAnsi="Arial" w:eastAsia="Arial" w:cs="Arial"/>
                <w:b/>
                <w:bCs/>
                <w:color w:val="000000" w:themeColor="text1"/>
              </w:rPr>
            </w:pPr>
            <w:r w:rsidRPr="20CDD690">
              <w:rPr>
                <w:rFonts w:ascii="Arial" w:hAnsi="Arial" w:eastAsia="Arial" w:cs="Arial"/>
                <w:b/>
                <w:bCs/>
                <w:color w:val="000000" w:themeColor="text1"/>
              </w:rPr>
              <w:t xml:space="preserve">What measures will be taken to avoid or address lengthy turnaround </w:t>
            </w:r>
            <w:proofErr w:type="gramStart"/>
            <w:r w:rsidRPr="20CDD690">
              <w:rPr>
                <w:rFonts w:ascii="Arial" w:hAnsi="Arial" w:eastAsia="Arial" w:cs="Arial"/>
                <w:b/>
                <w:bCs/>
                <w:color w:val="000000" w:themeColor="text1"/>
              </w:rPr>
              <w:t>time</w:t>
            </w:r>
            <w:proofErr w:type="gramEnd"/>
            <w:r w:rsidRPr="20CDD690" w:rsidR="676E3278">
              <w:rPr>
                <w:rFonts w:ascii="Arial" w:hAnsi="Arial" w:eastAsia="Arial" w:cs="Arial"/>
                <w:b/>
                <w:bCs/>
                <w:color w:val="000000" w:themeColor="text1"/>
              </w:rPr>
              <w:t xml:space="preserve"> (e.g., escalation pathway)</w:t>
            </w:r>
            <w:r w:rsidRPr="20CDD690">
              <w:rPr>
                <w:rFonts w:ascii="Arial" w:hAnsi="Arial" w:eastAsia="Arial" w:cs="Arial"/>
                <w:b/>
                <w:bCs/>
                <w:color w:val="000000" w:themeColor="text1"/>
              </w:rPr>
              <w:t>?</w:t>
            </w:r>
          </w:p>
        </w:tc>
        <w:tc>
          <w:tcPr>
            <w:tcW w:w="5112" w:type="dxa"/>
          </w:tcPr>
          <w:p w:rsidRPr="00241500" w:rsidR="00992111" w:rsidP="20CDD690" w:rsidRDefault="00992111" w14:paraId="76BDC75D" w14:textId="1DED647C">
            <w:pPr>
              <w:rPr>
                <w:rFonts w:ascii="Arial" w:hAnsi="Arial" w:eastAsia="Arial" w:cs="Arial"/>
                <w:color w:val="000000" w:themeColor="text1"/>
                <w:lang w:val="en-CA"/>
              </w:rPr>
            </w:pPr>
          </w:p>
        </w:tc>
      </w:tr>
    </w:tbl>
    <w:p w:rsidR="6E90BF14" w:rsidP="20CDD690" w:rsidRDefault="6E90BF14" w14:paraId="6C15862B" w14:textId="3CD0EE56">
      <w:pPr>
        <w:rPr>
          <w:rFonts w:ascii="Arial" w:hAnsi="Arial" w:eastAsia="Arial" w:cs="Arial"/>
        </w:rPr>
      </w:pPr>
    </w:p>
    <w:tbl>
      <w:tblPr>
        <w:tblW w:w="0" w:type="auto"/>
        <w:tblLook w:val="04A0" w:firstRow="1" w:lastRow="0" w:firstColumn="1" w:lastColumn="0" w:noHBand="0" w:noVBand="1"/>
      </w:tblPr>
      <w:tblGrid>
        <w:gridCol w:w="3114"/>
        <w:gridCol w:w="6236"/>
      </w:tblGrid>
      <w:tr w:rsidR="4E3B1895" w:rsidTr="20CDD690" w14:paraId="17A2FD94" w14:textId="77777777">
        <w:trPr>
          <w:trHeight w:val="354"/>
        </w:trPr>
        <w:tc>
          <w:tcPr>
            <w:tcW w:w="9351" w:type="dxa"/>
            <w:gridSpan w:val="2"/>
            <w:tcBorders>
              <w:top w:val="single" w:color="auto" w:sz="4" w:space="0"/>
              <w:left w:val="single" w:color="auto" w:sz="4" w:space="0"/>
              <w:bottom w:val="single" w:color="auto" w:sz="4" w:space="0"/>
              <w:right w:val="single" w:color="auto" w:sz="4" w:space="0"/>
            </w:tcBorders>
            <w:shd w:val="clear" w:color="auto" w:fill="00879D"/>
            <w:vAlign w:val="center"/>
          </w:tcPr>
          <w:p w:rsidR="4E3B1895" w:rsidP="20CDD690" w:rsidRDefault="1F53712F" w14:paraId="2DB569EB" w14:textId="4C7638FC">
            <w:pPr>
              <w:spacing w:after="0" w:line="240" w:lineRule="auto"/>
              <w:rPr>
                <w:rFonts w:ascii="Arial" w:hAnsi="Arial" w:eastAsia="Arial" w:cs="Arial"/>
                <w:b/>
                <w:bCs/>
                <w:color w:val="FFFFFF" w:themeColor="background1"/>
              </w:rPr>
            </w:pPr>
            <w:r w:rsidRPr="20CDD690">
              <w:rPr>
                <w:rFonts w:ascii="Arial" w:hAnsi="Arial" w:eastAsia="Arial" w:cs="Arial"/>
                <w:b/>
                <w:bCs/>
                <w:color w:val="FFFFFF" w:themeColor="background1"/>
              </w:rPr>
              <w:t>Intended Use of Data</w:t>
            </w:r>
          </w:p>
        </w:tc>
      </w:tr>
      <w:tr w:rsidR="4E3B1895" w:rsidTr="20CDD690" w14:paraId="3C88F3DC" w14:textId="77777777">
        <w:trPr>
          <w:trHeight w:val="509"/>
        </w:trPr>
        <w:tc>
          <w:tcPr>
            <w:tcW w:w="3114" w:type="dxa"/>
            <w:tcBorders>
              <w:top w:val="nil"/>
              <w:left w:val="single" w:color="auto" w:sz="4" w:space="0"/>
              <w:bottom w:val="single" w:color="auto" w:sz="4" w:space="0"/>
              <w:right w:val="single" w:color="auto" w:sz="4" w:space="0"/>
            </w:tcBorders>
            <w:vAlign w:val="center"/>
          </w:tcPr>
          <w:p w:rsidR="4E3B1895" w:rsidP="20CDD690" w:rsidRDefault="138D8C0E" w14:paraId="0A4F4AB5" w14:textId="77777777">
            <w:pPr>
              <w:spacing w:after="0" w:line="240" w:lineRule="auto"/>
              <w:rPr>
                <w:rFonts w:ascii="Arial" w:hAnsi="Arial" w:eastAsia="Arial" w:cs="Arial"/>
                <w:b/>
                <w:bCs/>
                <w:color w:val="000000" w:themeColor="text1"/>
              </w:rPr>
            </w:pPr>
            <w:r w:rsidRPr="20CDD690">
              <w:rPr>
                <w:rFonts w:ascii="Arial" w:hAnsi="Arial" w:eastAsia="Arial" w:cs="Arial"/>
                <w:b/>
                <w:bCs/>
                <w:color w:val="000000" w:themeColor="text1"/>
              </w:rPr>
              <w:t>Use case(s) description</w:t>
            </w:r>
          </w:p>
        </w:tc>
        <w:tc>
          <w:tcPr>
            <w:tcW w:w="6237" w:type="dxa"/>
            <w:tcBorders>
              <w:top w:val="nil"/>
              <w:left w:val="nil"/>
              <w:bottom w:val="single" w:color="auto" w:sz="4" w:space="0"/>
              <w:right w:val="single" w:color="auto" w:sz="4" w:space="0"/>
            </w:tcBorders>
            <w:vAlign w:val="bottom"/>
          </w:tcPr>
          <w:p w:rsidR="4E3B1895" w:rsidP="20CDD690" w:rsidRDefault="1F53712F" w14:paraId="5FDCDE4F" w14:textId="77777777">
            <w:pPr>
              <w:spacing w:after="0" w:line="240" w:lineRule="auto"/>
              <w:rPr>
                <w:rFonts w:ascii="Arial" w:hAnsi="Arial" w:eastAsia="Arial" w:cs="Arial"/>
                <w:color w:val="000000" w:themeColor="text1"/>
                <w:lang w:val="en-CA" w:eastAsia="en-CA"/>
              </w:rPr>
            </w:pPr>
            <w:r w:rsidRPr="20CDD690">
              <w:rPr>
                <w:rFonts w:ascii="Arial" w:hAnsi="Arial" w:eastAsia="Arial" w:cs="Arial"/>
                <w:color w:val="000000" w:themeColor="text1"/>
                <w:lang w:val="en-CA" w:eastAsia="en-CA"/>
              </w:rPr>
              <w:t> </w:t>
            </w:r>
          </w:p>
        </w:tc>
      </w:tr>
      <w:tr w:rsidR="4E3B1895" w:rsidTr="20CDD690" w14:paraId="0ED3E1C7" w14:textId="77777777">
        <w:trPr>
          <w:trHeight w:val="435"/>
        </w:trPr>
        <w:tc>
          <w:tcPr>
            <w:tcW w:w="3114" w:type="dxa"/>
            <w:tcBorders>
              <w:top w:val="nil"/>
              <w:left w:val="single" w:color="auto" w:sz="4" w:space="0"/>
              <w:bottom w:val="single" w:color="auto" w:sz="4" w:space="0"/>
              <w:right w:val="single" w:color="auto" w:sz="4" w:space="0"/>
            </w:tcBorders>
            <w:vAlign w:val="center"/>
          </w:tcPr>
          <w:p w:rsidR="4E3B1895" w:rsidP="20CDD690" w:rsidRDefault="138D8C0E" w14:paraId="69250D8E" w14:textId="77777777">
            <w:pPr>
              <w:spacing w:after="0" w:line="240" w:lineRule="auto"/>
              <w:rPr>
                <w:rFonts w:ascii="Arial" w:hAnsi="Arial" w:eastAsia="Arial" w:cs="Arial"/>
                <w:b/>
                <w:bCs/>
                <w:color w:val="000000" w:themeColor="text1"/>
              </w:rPr>
            </w:pPr>
            <w:r w:rsidRPr="20CDD690">
              <w:rPr>
                <w:rFonts w:ascii="Arial" w:hAnsi="Arial" w:eastAsia="Arial" w:cs="Arial"/>
                <w:b/>
                <w:bCs/>
                <w:color w:val="000000" w:themeColor="text1"/>
              </w:rPr>
              <w:t>Is this a federated learning use case?</w:t>
            </w:r>
          </w:p>
        </w:tc>
        <w:tc>
          <w:tcPr>
            <w:tcW w:w="6237" w:type="dxa"/>
            <w:tcBorders>
              <w:top w:val="nil"/>
              <w:left w:val="nil"/>
              <w:bottom w:val="single" w:color="auto" w:sz="4" w:space="0"/>
              <w:right w:val="single" w:color="auto" w:sz="4" w:space="0"/>
            </w:tcBorders>
            <w:vAlign w:val="bottom"/>
          </w:tcPr>
          <w:p w:rsidR="4E3B1895" w:rsidP="20CDD690" w:rsidRDefault="4E3B1895" w14:paraId="41815549" w14:textId="77777777">
            <w:pPr>
              <w:spacing w:after="0" w:line="240" w:lineRule="auto"/>
              <w:rPr>
                <w:rFonts w:ascii="Arial" w:hAnsi="Arial" w:eastAsia="Arial" w:cs="Arial"/>
                <w:color w:val="000000" w:themeColor="text1"/>
                <w:lang w:eastAsia="en-CA"/>
              </w:rPr>
            </w:pPr>
          </w:p>
        </w:tc>
      </w:tr>
      <w:tr w:rsidR="4E3B1895" w:rsidTr="20CDD690" w14:paraId="3FB101D3" w14:textId="77777777">
        <w:trPr>
          <w:trHeight w:val="1050"/>
        </w:trPr>
        <w:tc>
          <w:tcPr>
            <w:tcW w:w="3114" w:type="dxa"/>
            <w:tcBorders>
              <w:top w:val="nil"/>
              <w:left w:val="single" w:color="auto" w:sz="4" w:space="0"/>
              <w:bottom w:val="single" w:color="auto" w:sz="4" w:space="0"/>
              <w:right w:val="single" w:color="auto" w:sz="4" w:space="0"/>
            </w:tcBorders>
            <w:vAlign w:val="center"/>
          </w:tcPr>
          <w:p w:rsidR="4E3B1895" w:rsidP="20CDD690" w:rsidRDefault="4D50F9EF" w14:paraId="70CD6853" w14:textId="1AA8471F">
            <w:pPr>
              <w:spacing w:after="0" w:line="240" w:lineRule="auto"/>
              <w:rPr>
                <w:rFonts w:ascii="Arial" w:hAnsi="Arial" w:eastAsia="Arial" w:cs="Arial"/>
                <w:b/>
                <w:bCs/>
                <w:color w:val="000000" w:themeColor="text1"/>
              </w:rPr>
            </w:pPr>
            <w:r w:rsidRPr="20CDD690">
              <w:rPr>
                <w:rFonts w:ascii="Arial" w:hAnsi="Arial" w:eastAsia="Arial" w:cs="Arial"/>
                <w:b/>
                <w:bCs/>
                <w:color w:val="000000" w:themeColor="text1"/>
              </w:rPr>
              <w:t>If applicable, w</w:t>
            </w:r>
            <w:r w:rsidRPr="20CDD690" w:rsidR="1F53712F">
              <w:rPr>
                <w:rFonts w:ascii="Arial" w:hAnsi="Arial" w:eastAsia="Arial" w:cs="Arial"/>
                <w:b/>
                <w:bCs/>
                <w:color w:val="000000" w:themeColor="text1"/>
              </w:rPr>
              <w:t xml:space="preserve">hat type of </w:t>
            </w:r>
            <w:r w:rsidRPr="20CDD690" w:rsidR="6259F261">
              <w:rPr>
                <w:rFonts w:ascii="Arial" w:hAnsi="Arial" w:eastAsia="Arial" w:cs="Arial"/>
                <w:b/>
                <w:bCs/>
                <w:color w:val="000000" w:themeColor="text1"/>
              </w:rPr>
              <w:t xml:space="preserve">machine learning </w:t>
            </w:r>
            <w:r w:rsidRPr="20CDD690" w:rsidR="1F53712F">
              <w:rPr>
                <w:rFonts w:ascii="Arial" w:hAnsi="Arial" w:eastAsia="Arial" w:cs="Arial"/>
                <w:b/>
                <w:bCs/>
                <w:color w:val="000000" w:themeColor="text1"/>
              </w:rPr>
              <w:t xml:space="preserve">model(s) does this use case focus on? </w:t>
            </w:r>
          </w:p>
        </w:tc>
        <w:tc>
          <w:tcPr>
            <w:tcW w:w="6237" w:type="dxa"/>
            <w:tcBorders>
              <w:top w:val="nil"/>
              <w:left w:val="nil"/>
              <w:bottom w:val="single" w:color="auto" w:sz="4" w:space="0"/>
              <w:right w:val="single" w:color="auto" w:sz="4" w:space="0"/>
            </w:tcBorders>
            <w:vAlign w:val="bottom"/>
          </w:tcPr>
          <w:p w:rsidR="4E3B1895" w:rsidP="20CDD690" w:rsidRDefault="1F53712F" w14:paraId="68EC25E1" w14:textId="77777777">
            <w:pPr>
              <w:spacing w:after="0" w:line="240" w:lineRule="auto"/>
              <w:rPr>
                <w:rFonts w:ascii="Arial" w:hAnsi="Arial" w:eastAsia="Arial" w:cs="Arial"/>
                <w:color w:val="000000" w:themeColor="text1"/>
                <w:lang w:val="en-CA" w:eastAsia="en-CA"/>
              </w:rPr>
            </w:pPr>
            <w:r w:rsidRPr="20CDD690">
              <w:rPr>
                <w:rFonts w:ascii="Arial" w:hAnsi="Arial" w:eastAsia="Arial" w:cs="Arial"/>
                <w:color w:val="000000" w:themeColor="text1"/>
                <w:lang w:val="en-CA" w:eastAsia="en-CA"/>
              </w:rPr>
              <w:t> </w:t>
            </w:r>
          </w:p>
        </w:tc>
      </w:tr>
      <w:tr w:rsidR="4E3B1895" w:rsidTr="20CDD690" w14:paraId="2D968DB5" w14:textId="77777777">
        <w:trPr>
          <w:trHeight w:val="1050"/>
        </w:trPr>
        <w:tc>
          <w:tcPr>
            <w:tcW w:w="3114" w:type="dxa"/>
            <w:tcBorders>
              <w:top w:val="nil"/>
              <w:left w:val="single" w:color="auto" w:sz="4" w:space="0"/>
              <w:bottom w:val="single" w:color="auto" w:sz="4" w:space="0"/>
              <w:right w:val="single" w:color="auto" w:sz="4" w:space="0"/>
            </w:tcBorders>
            <w:vAlign w:val="center"/>
          </w:tcPr>
          <w:p w:rsidR="4E3B1895" w:rsidP="20CDD690" w:rsidRDefault="1F53712F" w14:paraId="11FBFC01" w14:textId="67EB8269">
            <w:pPr>
              <w:spacing w:after="0" w:line="240" w:lineRule="auto"/>
              <w:rPr>
                <w:rFonts w:ascii="Arial" w:hAnsi="Arial" w:eastAsia="Arial" w:cs="Arial"/>
                <w:b/>
                <w:bCs/>
                <w:color w:val="000000" w:themeColor="text1"/>
              </w:rPr>
            </w:pPr>
            <w:r w:rsidRPr="20CDD690">
              <w:rPr>
                <w:rFonts w:ascii="Arial" w:hAnsi="Arial" w:eastAsia="Arial" w:cs="Arial"/>
                <w:b/>
                <w:bCs/>
                <w:color w:val="000000" w:themeColor="text1"/>
              </w:rPr>
              <w:t xml:space="preserve">What other tools and coding languages </w:t>
            </w:r>
            <w:proofErr w:type="gramStart"/>
            <w:r w:rsidRPr="20CDD690">
              <w:rPr>
                <w:rFonts w:ascii="Arial" w:hAnsi="Arial" w:eastAsia="Arial" w:cs="Arial"/>
                <w:b/>
                <w:bCs/>
                <w:color w:val="000000" w:themeColor="text1"/>
              </w:rPr>
              <w:t>do</w:t>
            </w:r>
            <w:r w:rsidRPr="20CDD690" w:rsidR="76422EEB">
              <w:rPr>
                <w:rFonts w:ascii="Arial" w:hAnsi="Arial" w:eastAsia="Arial" w:cs="Arial"/>
                <w:b/>
                <w:bCs/>
                <w:color w:val="000000" w:themeColor="text1"/>
              </w:rPr>
              <w:t>es</w:t>
            </w:r>
            <w:proofErr w:type="gramEnd"/>
            <w:r w:rsidRPr="20CDD690">
              <w:rPr>
                <w:rFonts w:ascii="Arial" w:hAnsi="Arial" w:eastAsia="Arial" w:cs="Arial"/>
                <w:b/>
                <w:bCs/>
                <w:color w:val="000000" w:themeColor="text1"/>
              </w:rPr>
              <w:t xml:space="preserve"> the use case include?</w:t>
            </w:r>
          </w:p>
        </w:tc>
        <w:tc>
          <w:tcPr>
            <w:tcW w:w="6237" w:type="dxa"/>
            <w:tcBorders>
              <w:top w:val="nil"/>
              <w:left w:val="nil"/>
              <w:bottom w:val="single" w:color="auto" w:sz="4" w:space="0"/>
              <w:right w:val="single" w:color="auto" w:sz="4" w:space="0"/>
            </w:tcBorders>
            <w:vAlign w:val="bottom"/>
          </w:tcPr>
          <w:p w:rsidR="4E3B1895" w:rsidP="20CDD690" w:rsidRDefault="4E3B1895" w14:paraId="2668C18A" w14:textId="77777777">
            <w:pPr>
              <w:spacing w:after="0" w:line="240" w:lineRule="auto"/>
              <w:rPr>
                <w:rFonts w:ascii="Arial" w:hAnsi="Arial" w:eastAsia="Arial" w:cs="Arial"/>
                <w:color w:val="000000" w:themeColor="text1"/>
                <w:lang w:val="en-CA" w:eastAsia="en-CA"/>
              </w:rPr>
            </w:pPr>
          </w:p>
        </w:tc>
      </w:tr>
    </w:tbl>
    <w:p w:rsidR="4E3B1895" w:rsidP="20CDD690" w:rsidRDefault="4E3B1895" w14:paraId="79D1A8AE" w14:textId="1EAF7C74">
      <w:pPr>
        <w:rPr>
          <w:rFonts w:ascii="Arial" w:hAnsi="Arial" w:eastAsia="Arial" w:cs="Arial"/>
        </w:rPr>
      </w:pPr>
    </w:p>
    <w:tbl>
      <w:tblPr>
        <w:tblStyle w:val="TableGrid"/>
        <w:tblW w:w="9360" w:type="dxa"/>
        <w:tblLayout w:type="fixed"/>
        <w:tblLook w:val="06A0" w:firstRow="1" w:lastRow="0" w:firstColumn="1" w:lastColumn="0" w:noHBand="1" w:noVBand="1"/>
      </w:tblPr>
      <w:tblGrid>
        <w:gridCol w:w="4305"/>
        <w:gridCol w:w="5055"/>
      </w:tblGrid>
      <w:tr w:rsidR="6E90BF14" w:rsidTr="0453C5FD" w14:paraId="7BC9571A" w14:textId="77777777">
        <w:trPr>
          <w:trHeight w:val="300"/>
        </w:trPr>
        <w:tc>
          <w:tcPr>
            <w:tcW w:w="9360" w:type="dxa"/>
            <w:gridSpan w:val="2"/>
            <w:shd w:val="clear" w:color="auto" w:fill="00879D"/>
          </w:tcPr>
          <w:p w:rsidR="5F057488" w:rsidP="20CDD690" w:rsidRDefault="5F057488" w14:paraId="6EE11684" w14:textId="325BDD18">
            <w:pPr>
              <w:pStyle w:val="Heading1"/>
              <w:spacing w:before="0"/>
              <w:rPr>
                <w:rFonts w:ascii="Arial" w:hAnsi="Arial" w:eastAsia="Arial" w:cs="Arial"/>
                <w:b/>
                <w:bCs/>
                <w:color w:val="FFFFFF" w:themeColor="background1"/>
                <w:sz w:val="24"/>
                <w:szCs w:val="24"/>
              </w:rPr>
            </w:pPr>
            <w:r w:rsidRPr="20CDD690">
              <w:rPr>
                <w:rFonts w:ascii="Arial" w:hAnsi="Arial" w:eastAsia="Arial" w:cs="Arial"/>
                <w:b/>
                <w:bCs/>
                <w:color w:val="FFFFFF" w:themeColor="background1"/>
                <w:sz w:val="24"/>
                <w:szCs w:val="24"/>
              </w:rPr>
              <w:t>Regulatory requirements</w:t>
            </w:r>
          </w:p>
        </w:tc>
      </w:tr>
      <w:tr w:rsidR="20CDD690" w:rsidTr="0453C5FD" w14:paraId="1F5B7380" w14:textId="77777777">
        <w:trPr>
          <w:trHeight w:val="300"/>
        </w:trPr>
        <w:tc>
          <w:tcPr>
            <w:tcW w:w="9360" w:type="dxa"/>
            <w:gridSpan w:val="2"/>
            <w:shd w:val="clear" w:color="auto" w:fill="00879D"/>
          </w:tcPr>
          <w:p w:rsidR="1F4F4618" w:rsidP="20CDD690" w:rsidRDefault="1F4F4618" w14:paraId="7C00DBDE" w14:textId="779EE2ED">
            <w:pPr>
              <w:pStyle w:val="Heading1"/>
              <w:spacing w:before="0"/>
              <w:rPr>
                <w:rFonts w:ascii="Arial" w:hAnsi="Arial" w:eastAsia="Arial" w:cs="Arial"/>
                <w:color w:val="FFFFFF" w:themeColor="background1"/>
              </w:rPr>
            </w:pPr>
            <w:r w:rsidRPr="20CDD690">
              <w:rPr>
                <w:rFonts w:ascii="Arial" w:hAnsi="Arial" w:eastAsia="Arial" w:cs="Arial"/>
                <w:color w:val="FFFFFF" w:themeColor="background1"/>
                <w:sz w:val="24"/>
                <w:szCs w:val="24"/>
              </w:rPr>
              <w:t xml:space="preserve">Outline regulatory requirements that must be fulfilled for DHDP deployment to occur at sites where data reside. This includes requirements for data sharing with the intended party (or parties) through the Platform. Note: DHDP software must be deployed </w:t>
            </w:r>
            <w:proofErr w:type="gramStart"/>
            <w:r w:rsidRPr="20CDD690">
              <w:rPr>
                <w:rFonts w:ascii="Arial" w:hAnsi="Arial" w:eastAsia="Arial" w:cs="Arial"/>
                <w:color w:val="FFFFFF" w:themeColor="background1"/>
                <w:sz w:val="24"/>
                <w:szCs w:val="24"/>
              </w:rPr>
              <w:t>proximal</w:t>
            </w:r>
            <w:proofErr w:type="gramEnd"/>
            <w:r w:rsidRPr="20CDD690">
              <w:rPr>
                <w:rFonts w:ascii="Arial" w:hAnsi="Arial" w:eastAsia="Arial" w:cs="Arial"/>
                <w:color w:val="FFFFFF" w:themeColor="background1"/>
                <w:sz w:val="24"/>
                <w:szCs w:val="24"/>
              </w:rPr>
              <w:t xml:space="preserve"> to data due to privacy-first federated architecture.</w:t>
            </w:r>
          </w:p>
        </w:tc>
      </w:tr>
      <w:tr w:rsidR="6E90BF14" w:rsidTr="0453C5FD" w14:paraId="6DAB9563" w14:textId="77777777">
        <w:trPr>
          <w:trHeight w:val="675"/>
        </w:trPr>
        <w:tc>
          <w:tcPr>
            <w:tcW w:w="4305" w:type="dxa"/>
          </w:tcPr>
          <w:p w:rsidR="20CDD690" w:rsidP="0453C5FD" w:rsidRDefault="51643E84" w14:paraId="42B02F34" w14:textId="673D6C0B">
            <w:pPr>
              <w:rPr>
                <w:rFonts w:ascii="Arial" w:hAnsi="Arial" w:eastAsia="Arial" w:cs="Arial"/>
                <w:color w:val="000000" w:themeColor="text1"/>
              </w:rPr>
            </w:pPr>
            <w:r w:rsidRPr="0453C5FD">
              <w:rPr>
                <w:rFonts w:ascii="Arial" w:hAnsi="Arial" w:eastAsia="Arial" w:cs="Arial"/>
                <w:b/>
                <w:bCs/>
                <w:color w:val="000000" w:themeColor="text1"/>
              </w:rPr>
              <w:t>List the institutional, provincial or territorial, and federal requirements</w:t>
            </w:r>
            <w:r w:rsidRPr="0453C5FD">
              <w:rPr>
                <w:rFonts w:ascii="Arial" w:hAnsi="Arial" w:eastAsia="Arial" w:cs="Arial"/>
                <w:color w:val="000000" w:themeColor="text1"/>
              </w:rPr>
              <w:t xml:space="preserve"> that must be met to execute the proposed project. Examples include REB-approval or federal requirements for devices capturing patient data.</w:t>
            </w:r>
            <w:r w:rsidRPr="0453C5FD">
              <w:rPr>
                <w:rFonts w:ascii="Arial" w:hAnsi="Arial" w:eastAsia="Arial" w:cs="Arial"/>
                <w:b/>
                <w:bCs/>
                <w:color w:val="000000" w:themeColor="text1"/>
              </w:rPr>
              <w:t xml:space="preserve"> </w:t>
            </w:r>
          </w:p>
        </w:tc>
        <w:tc>
          <w:tcPr>
            <w:tcW w:w="5055" w:type="dxa"/>
          </w:tcPr>
          <w:p w:rsidR="20CDD690" w:rsidP="20CDD690" w:rsidRDefault="20CDD690" w14:paraId="15F6E234" w14:textId="6E536A20">
            <w:pPr>
              <w:rPr>
                <w:rFonts w:ascii="Arial" w:hAnsi="Arial" w:eastAsia="Arial" w:cs="Arial"/>
                <w:b/>
                <w:bCs/>
                <w:color w:val="000000" w:themeColor="text1"/>
              </w:rPr>
            </w:pPr>
          </w:p>
          <w:p w:rsidR="382C9621" w:rsidP="20CDD690" w:rsidRDefault="382C9621" w14:paraId="0CBBBA50" w14:textId="6ECEFB22">
            <w:pPr>
              <w:pStyle w:val="ListParagraph"/>
              <w:rPr>
                <w:rFonts w:ascii="Arial" w:hAnsi="Arial" w:eastAsia="Arial" w:cs="Arial"/>
                <w:color w:val="000000" w:themeColor="text1"/>
              </w:rPr>
            </w:pPr>
          </w:p>
          <w:p w:rsidR="382C9621" w:rsidP="20CDD690" w:rsidRDefault="382C9621" w14:paraId="14EEC043" w14:textId="662A2C0F">
            <w:pPr>
              <w:pStyle w:val="ListParagraph"/>
              <w:rPr>
                <w:rFonts w:ascii="Arial" w:hAnsi="Arial" w:eastAsia="Arial" w:cs="Arial"/>
                <w:color w:val="000000" w:themeColor="text1"/>
              </w:rPr>
            </w:pPr>
          </w:p>
          <w:p w:rsidR="382C9621" w:rsidP="20CDD690" w:rsidRDefault="382C9621" w14:paraId="38B638D3" w14:textId="6144852C">
            <w:pPr>
              <w:pStyle w:val="ListParagraph"/>
              <w:rPr>
                <w:rFonts w:ascii="Arial" w:hAnsi="Arial" w:eastAsia="Arial" w:cs="Arial"/>
                <w:color w:val="000000" w:themeColor="text1"/>
              </w:rPr>
            </w:pPr>
          </w:p>
          <w:p w:rsidR="382C9621" w:rsidP="20CDD690" w:rsidRDefault="382C9621" w14:paraId="374A0205" w14:textId="71229DA7">
            <w:pPr>
              <w:pStyle w:val="ListParagraph"/>
              <w:rPr>
                <w:rFonts w:ascii="Arial" w:hAnsi="Arial" w:eastAsia="Arial" w:cs="Arial"/>
                <w:color w:val="000000" w:themeColor="text1"/>
              </w:rPr>
            </w:pPr>
          </w:p>
          <w:p w:rsidR="382C9621" w:rsidP="20CDD690" w:rsidRDefault="382C9621" w14:paraId="2D0E5BF5" w14:textId="5083F3D6">
            <w:pPr>
              <w:rPr>
                <w:rFonts w:ascii="Arial" w:hAnsi="Arial" w:eastAsia="Arial" w:cs="Arial"/>
                <w:color w:val="000000" w:themeColor="text1"/>
              </w:rPr>
            </w:pPr>
          </w:p>
        </w:tc>
      </w:tr>
      <w:tr w:rsidR="20CDD690" w:rsidTr="0453C5FD" w14:paraId="1F1BA085" w14:textId="77777777">
        <w:trPr>
          <w:trHeight w:val="300"/>
        </w:trPr>
        <w:tc>
          <w:tcPr>
            <w:tcW w:w="4305" w:type="dxa"/>
          </w:tcPr>
          <w:p w:rsidR="20CDD690" w:rsidP="0453C5FD" w:rsidRDefault="51643E84" w14:paraId="3AE411A1" w14:textId="4ED9E0FE">
            <w:pPr>
              <w:rPr>
                <w:rFonts w:ascii="Arial" w:hAnsi="Arial" w:eastAsia="Arial" w:cs="Arial"/>
                <w:color w:val="000000" w:themeColor="text1"/>
              </w:rPr>
            </w:pPr>
            <w:r w:rsidRPr="0453C5FD">
              <w:rPr>
                <w:rFonts w:ascii="Arial" w:hAnsi="Arial" w:eastAsia="Arial" w:cs="Arial"/>
                <w:b/>
                <w:bCs/>
                <w:color w:val="000000" w:themeColor="text1"/>
              </w:rPr>
              <w:t xml:space="preserve">Multi-institution and cross-jurisdiction: </w:t>
            </w:r>
            <w:r w:rsidRPr="0453C5FD">
              <w:rPr>
                <w:rFonts w:ascii="Arial" w:hAnsi="Arial" w:eastAsia="Arial" w:cs="Arial"/>
                <w:color w:val="000000" w:themeColor="text1"/>
              </w:rPr>
              <w:t xml:space="preserve">Specify if data will be shared across multiple institutions as well as multiple provinces and/or </w:t>
            </w:r>
            <w:r w:rsidRPr="0453C5FD">
              <w:rPr>
                <w:rFonts w:ascii="Arial" w:hAnsi="Arial" w:eastAsia="Arial" w:cs="Arial"/>
                <w:color w:val="000000" w:themeColor="text1"/>
              </w:rPr>
              <w:lastRenderedPageBreak/>
              <w:t>territories. If applicable, what are the key considerations when navigating regulatory requirements across the different jurisdictions?</w:t>
            </w:r>
          </w:p>
        </w:tc>
        <w:tc>
          <w:tcPr>
            <w:tcW w:w="5055" w:type="dxa"/>
          </w:tcPr>
          <w:p w:rsidR="20CDD690" w:rsidP="20CDD690" w:rsidRDefault="20CDD690" w14:paraId="5193BD84" w14:textId="78DB8FE7">
            <w:pPr>
              <w:rPr>
                <w:rFonts w:ascii="Arial" w:hAnsi="Arial" w:eastAsia="Arial" w:cs="Arial"/>
                <w:b/>
                <w:bCs/>
                <w:color w:val="000000" w:themeColor="text1"/>
              </w:rPr>
            </w:pPr>
          </w:p>
        </w:tc>
      </w:tr>
    </w:tbl>
    <w:p w:rsidR="6E90BF14" w:rsidP="20CDD690" w:rsidRDefault="6E90BF14" w14:paraId="4D6DD117" w14:textId="58E6CF2B">
      <w:pPr>
        <w:spacing w:before="240"/>
        <w:rPr>
          <w:rFonts w:ascii="Arial" w:hAnsi="Arial" w:eastAsia="Arial" w:cs="Arial"/>
          <w:color w:val="000000" w:themeColor="text1"/>
        </w:rPr>
      </w:pPr>
    </w:p>
    <w:tbl>
      <w:tblPr>
        <w:tblStyle w:val="TableGrid"/>
        <w:tblW w:w="0" w:type="auto"/>
        <w:tblLayout w:type="fixed"/>
        <w:tblLook w:val="06A0" w:firstRow="1" w:lastRow="0" w:firstColumn="1" w:lastColumn="0" w:noHBand="1" w:noVBand="1"/>
      </w:tblPr>
      <w:tblGrid>
        <w:gridCol w:w="9360"/>
      </w:tblGrid>
      <w:tr w:rsidR="6E90BF14" w:rsidTr="0453C5FD" w14:paraId="03048A0F" w14:textId="77777777">
        <w:trPr>
          <w:trHeight w:val="300"/>
        </w:trPr>
        <w:tc>
          <w:tcPr>
            <w:tcW w:w="9360" w:type="dxa"/>
            <w:shd w:val="clear" w:color="auto" w:fill="00879D"/>
          </w:tcPr>
          <w:p w:rsidR="6E90BF14" w:rsidP="20CDD690" w:rsidRDefault="6738D18E" w14:paraId="289C7597" w14:textId="32DBF0B1">
            <w:pPr>
              <w:pStyle w:val="Heading1"/>
              <w:spacing w:before="0" w:after="0"/>
              <w:rPr>
                <w:rFonts w:ascii="Arial" w:hAnsi="Arial" w:eastAsia="Arial" w:cs="Arial"/>
                <w:b/>
                <w:bCs/>
                <w:color w:val="FFFFFF" w:themeColor="background1"/>
                <w:sz w:val="24"/>
                <w:szCs w:val="24"/>
              </w:rPr>
            </w:pPr>
            <w:r w:rsidRPr="20CDD690">
              <w:rPr>
                <w:rFonts w:ascii="Arial" w:hAnsi="Arial" w:eastAsia="Arial" w:cs="Arial"/>
                <w:b/>
                <w:bCs/>
                <w:color w:val="FFFFFF" w:themeColor="background1"/>
                <w:sz w:val="24"/>
                <w:szCs w:val="24"/>
              </w:rPr>
              <w:t xml:space="preserve">Data </w:t>
            </w:r>
            <w:r w:rsidRPr="20CDD690" w:rsidR="3CE5B7F3">
              <w:rPr>
                <w:rFonts w:ascii="Arial" w:hAnsi="Arial" w:eastAsia="Arial" w:cs="Arial"/>
                <w:b/>
                <w:bCs/>
                <w:color w:val="FFFFFF" w:themeColor="background1"/>
                <w:sz w:val="24"/>
                <w:szCs w:val="24"/>
              </w:rPr>
              <w:t xml:space="preserve">Onboarding </w:t>
            </w:r>
            <w:r w:rsidRPr="20CDD690">
              <w:rPr>
                <w:rFonts w:ascii="Arial" w:hAnsi="Arial" w:eastAsia="Arial" w:cs="Arial"/>
                <w:b/>
                <w:bCs/>
                <w:color w:val="FFFFFF" w:themeColor="background1"/>
                <w:sz w:val="24"/>
                <w:szCs w:val="24"/>
              </w:rPr>
              <w:t>Requirements</w:t>
            </w:r>
          </w:p>
        </w:tc>
      </w:tr>
      <w:tr w:rsidR="0453C5FD" w:rsidTr="0453C5FD" w14:paraId="2B8232D8" w14:textId="77777777">
        <w:trPr>
          <w:trHeight w:val="300"/>
        </w:trPr>
        <w:tc>
          <w:tcPr>
            <w:tcW w:w="9360" w:type="dxa"/>
            <w:shd w:val="clear" w:color="auto" w:fill="00879D"/>
          </w:tcPr>
          <w:p w:rsidR="1B9AC768" w:rsidP="0453C5FD" w:rsidRDefault="1B9AC768" w14:paraId="0D1EB942" w14:textId="64B2960F">
            <w:pPr>
              <w:rPr>
                <w:rStyle w:val="eop"/>
                <w:rFonts w:ascii="Arial" w:hAnsi="Arial" w:eastAsia="Arial" w:cs="Arial"/>
                <w:color w:val="FFFFFF" w:themeColor="background1"/>
              </w:rPr>
            </w:pPr>
            <w:r w:rsidRPr="0453C5FD">
              <w:rPr>
                <w:rStyle w:val="normaltextrun"/>
                <w:rFonts w:ascii="Arial" w:hAnsi="Arial" w:eastAsia="Arial" w:cs="Arial"/>
                <w:color w:val="FFFFFF" w:themeColor="background1"/>
              </w:rPr>
              <w:t xml:space="preserve">Outline the data onboarding activities required to de-identify data, map data to the OMOP </w:t>
            </w:r>
            <w:r w:rsidRPr="0453C5FD" w:rsidR="19F28810">
              <w:rPr>
                <w:rStyle w:val="normaltextrun"/>
                <w:rFonts w:ascii="Arial" w:hAnsi="Arial" w:eastAsia="Arial" w:cs="Arial"/>
                <w:color w:val="FFFFFF" w:themeColor="background1"/>
              </w:rPr>
              <w:t xml:space="preserve">CDM </w:t>
            </w:r>
            <w:r w:rsidRPr="0453C5FD">
              <w:rPr>
                <w:rStyle w:val="normaltextrun"/>
                <w:rFonts w:ascii="Arial" w:hAnsi="Arial" w:eastAsia="Arial" w:cs="Arial"/>
                <w:color w:val="FFFFFF" w:themeColor="background1"/>
              </w:rPr>
              <w:t xml:space="preserve">and acquire data into the Platform. See OMOP data standardization </w:t>
            </w:r>
            <w:hyperlink r:id="rId14">
              <w:r w:rsidRPr="0453C5FD">
                <w:rPr>
                  <w:rStyle w:val="Hyperlink"/>
                  <w:rFonts w:ascii="Arial" w:hAnsi="Arial" w:eastAsia="Arial" w:cs="Arial"/>
                  <w:color w:val="FFFFFF" w:themeColor="background1"/>
                </w:rPr>
                <w:t>resource</w:t>
              </w:r>
            </w:hyperlink>
            <w:r w:rsidRPr="0453C5FD" w:rsidR="0F2AA4A4">
              <w:rPr>
                <w:rStyle w:val="eop"/>
                <w:rFonts w:ascii="Arial" w:hAnsi="Arial" w:eastAsia="Arial" w:cs="Arial"/>
                <w:color w:val="FFFFFF" w:themeColor="background1"/>
              </w:rPr>
              <w:t xml:space="preserve"> and a</w:t>
            </w:r>
            <w:r w:rsidRPr="0453C5FD">
              <w:rPr>
                <w:rStyle w:val="eop"/>
                <w:rFonts w:ascii="Arial" w:hAnsi="Arial" w:eastAsia="Arial" w:cs="Arial"/>
                <w:color w:val="FFFFFF" w:themeColor="background1"/>
              </w:rPr>
              <w:t xml:space="preserve">dditional resources at </w:t>
            </w:r>
            <w:hyperlink r:id="rId15">
              <w:r w:rsidRPr="0453C5FD">
                <w:rPr>
                  <w:rStyle w:val="Hyperlink"/>
                  <w:rFonts w:ascii="Arial" w:hAnsi="Arial" w:eastAsia="Arial" w:cs="Arial"/>
                  <w:color w:val="FFFFFF" w:themeColor="background1"/>
                </w:rPr>
                <w:t>https://www.ohdsi.org/.</w:t>
              </w:r>
            </w:hyperlink>
          </w:p>
        </w:tc>
      </w:tr>
      <w:tr w:rsidR="6E90BF14" w:rsidTr="0453C5FD" w14:paraId="79D07719" w14:textId="77777777">
        <w:trPr>
          <w:trHeight w:val="1080"/>
        </w:trPr>
        <w:tc>
          <w:tcPr>
            <w:tcW w:w="9360" w:type="dxa"/>
          </w:tcPr>
          <w:p w:rsidR="6E90BF14" w:rsidP="0453C5FD" w:rsidRDefault="645332E2" w14:paraId="2ECA42DF" w14:textId="5E478327">
            <w:pPr>
              <w:spacing w:before="240"/>
              <w:rPr>
                <w:rStyle w:val="eop"/>
                <w:rFonts w:ascii="Arial" w:hAnsi="Arial" w:eastAsia="Arial" w:cs="Arial"/>
                <w:color w:val="000000" w:themeColor="text1"/>
              </w:rPr>
            </w:pPr>
            <w:r w:rsidRPr="0453C5FD">
              <w:rPr>
                <w:rStyle w:val="eop"/>
                <w:rFonts w:ascii="Arial" w:hAnsi="Arial" w:eastAsia="Arial" w:cs="Arial"/>
                <w:color w:val="000000" w:themeColor="text1"/>
              </w:rPr>
              <w:t>Guiding questions</w:t>
            </w:r>
          </w:p>
          <w:p w:rsidR="6E90BF14" w:rsidP="0453C5FD" w:rsidRDefault="27C4BB63" w14:paraId="6EE2037B" w14:textId="15517913">
            <w:pPr>
              <w:pStyle w:val="ListParagraph"/>
              <w:numPr>
                <w:ilvl w:val="0"/>
                <w:numId w:val="1"/>
              </w:numPr>
              <w:spacing w:before="240"/>
              <w:rPr>
                <w:rFonts w:ascii="Arial" w:hAnsi="Arial" w:eastAsia="Arial" w:cs="Arial"/>
                <w:color w:val="000000" w:themeColor="text1"/>
              </w:rPr>
            </w:pPr>
            <w:r w:rsidRPr="0453C5FD">
              <w:rPr>
                <w:b/>
                <w:bCs/>
                <w:color w:val="000000" w:themeColor="text1"/>
              </w:rPr>
              <w:t>Resource Allocation:</w:t>
            </w:r>
            <w:r w:rsidRPr="0453C5FD">
              <w:rPr>
                <w:color w:val="000000" w:themeColor="text1"/>
              </w:rPr>
              <w:t xml:space="preserve"> </w:t>
            </w:r>
            <w:r w:rsidRPr="0453C5FD" w:rsidR="645332E2">
              <w:rPr>
                <w:color w:val="000000" w:themeColor="text1"/>
              </w:rPr>
              <w:t xml:space="preserve">How will resources be allocated </w:t>
            </w:r>
            <w:r w:rsidRPr="0453C5FD" w:rsidR="54ED0687">
              <w:rPr>
                <w:color w:val="000000" w:themeColor="text1"/>
              </w:rPr>
              <w:t>to support</w:t>
            </w:r>
            <w:r w:rsidRPr="0453C5FD" w:rsidR="645332E2">
              <w:rPr>
                <w:color w:val="000000" w:themeColor="text1"/>
              </w:rPr>
              <w:t xml:space="preserve"> data transformation</w:t>
            </w:r>
            <w:r w:rsidRPr="0453C5FD" w:rsidR="76C213E4">
              <w:rPr>
                <w:color w:val="000000" w:themeColor="text1"/>
              </w:rPr>
              <w:t xml:space="preserve"> </w:t>
            </w:r>
            <w:r w:rsidRPr="0453C5FD" w:rsidR="6C03F44D">
              <w:rPr>
                <w:color w:val="000000" w:themeColor="text1"/>
              </w:rPr>
              <w:t>and workflow</w:t>
            </w:r>
            <w:r w:rsidRPr="0453C5FD" w:rsidR="4AB1B613">
              <w:rPr>
                <w:color w:val="000000" w:themeColor="text1"/>
              </w:rPr>
              <w:t xml:space="preserve"> activities to make data interoperable and</w:t>
            </w:r>
            <w:r w:rsidRPr="0453C5FD" w:rsidR="397B875C">
              <w:rPr>
                <w:color w:val="000000" w:themeColor="text1"/>
              </w:rPr>
              <w:t xml:space="preserve"> implement the use case(s)</w:t>
            </w:r>
            <w:r w:rsidRPr="0453C5FD" w:rsidR="645332E2">
              <w:rPr>
                <w:color w:val="000000" w:themeColor="text1"/>
              </w:rPr>
              <w:t>?</w:t>
            </w:r>
          </w:p>
          <w:p w:rsidR="6E90BF14" w:rsidP="0453C5FD" w:rsidRDefault="2181E11C" w14:paraId="660CB0D8" w14:textId="21C2C2B5">
            <w:pPr>
              <w:pStyle w:val="ListParagraph"/>
              <w:numPr>
                <w:ilvl w:val="0"/>
                <w:numId w:val="2"/>
              </w:numPr>
              <w:spacing w:before="240"/>
              <w:rPr>
                <w:rFonts w:ascii="Arial" w:hAnsi="Arial" w:eastAsia="Arial" w:cs="Arial"/>
                <w:color w:val="000000" w:themeColor="text1"/>
              </w:rPr>
            </w:pPr>
            <w:r w:rsidRPr="0453C5FD">
              <w:rPr>
                <w:b/>
                <w:bCs/>
                <w:color w:val="000000" w:themeColor="text1"/>
              </w:rPr>
              <w:t>Data Quality</w:t>
            </w:r>
            <w:r w:rsidRPr="0453C5FD">
              <w:rPr>
                <w:color w:val="000000" w:themeColor="text1"/>
              </w:rPr>
              <w:t>: Describe procedures for ensuring completeness, accuracy, timeliness, and validity of data. How will errors or missing values be handled?</w:t>
            </w:r>
          </w:p>
          <w:p w:rsidR="6E90BF14" w:rsidP="0453C5FD" w:rsidRDefault="1C594E4E" w14:paraId="6174082D" w14:textId="72B14D66">
            <w:pPr>
              <w:pStyle w:val="ListParagraph"/>
              <w:numPr>
                <w:ilvl w:val="0"/>
                <w:numId w:val="2"/>
              </w:numPr>
              <w:spacing w:before="240"/>
              <w:rPr>
                <w:color w:val="000000" w:themeColor="text1"/>
              </w:rPr>
            </w:pPr>
            <w:r w:rsidRPr="0453C5FD">
              <w:rPr>
                <w:b/>
                <w:bCs/>
                <w:color w:val="000000" w:themeColor="text1"/>
              </w:rPr>
              <w:t xml:space="preserve">Data Readiness: </w:t>
            </w:r>
            <w:r w:rsidRPr="0453C5FD">
              <w:rPr>
                <w:color w:val="000000" w:themeColor="text1"/>
              </w:rPr>
              <w:t>What is the current baseline and what are specific requirements that must be met to execute the proposed use case(s)</w:t>
            </w:r>
            <w:r w:rsidRPr="0453C5FD" w:rsidR="0001E6C6">
              <w:rPr>
                <w:color w:val="000000" w:themeColor="text1"/>
              </w:rPr>
              <w:t xml:space="preserve"> (e.g., OMOP</w:t>
            </w:r>
            <w:r w:rsidRPr="0453C5FD" w:rsidR="15E469DE">
              <w:rPr>
                <w:color w:val="000000" w:themeColor="text1"/>
              </w:rPr>
              <w:t xml:space="preserve"> data</w:t>
            </w:r>
            <w:r w:rsidRPr="0453C5FD" w:rsidR="0001E6C6">
              <w:rPr>
                <w:color w:val="000000" w:themeColor="text1"/>
              </w:rPr>
              <w:t xml:space="preserve"> mapping)</w:t>
            </w:r>
            <w:r w:rsidRPr="0453C5FD">
              <w:rPr>
                <w:color w:val="000000" w:themeColor="text1"/>
              </w:rPr>
              <w:t>?</w:t>
            </w:r>
            <w:r w:rsidRPr="0453C5FD" w:rsidR="34D7C5CD">
              <w:rPr>
                <w:color w:val="000000" w:themeColor="text1"/>
              </w:rPr>
              <w:t xml:space="preserve"> </w:t>
            </w:r>
          </w:p>
          <w:p w:rsidR="6E90BF14" w:rsidP="0453C5FD" w:rsidRDefault="2181E11C" w14:paraId="4317D776" w14:textId="5EB5CC8F">
            <w:pPr>
              <w:pStyle w:val="ListParagraph"/>
              <w:numPr>
                <w:ilvl w:val="0"/>
                <w:numId w:val="2"/>
              </w:numPr>
              <w:shd w:val="clear" w:color="auto" w:fill="FFFFFF" w:themeFill="background1"/>
              <w:rPr>
                <w:rFonts w:ascii="Arial" w:hAnsi="Arial" w:eastAsia="Arial" w:cs="Arial"/>
                <w:color w:val="000000" w:themeColor="text1"/>
              </w:rPr>
            </w:pPr>
            <w:r w:rsidRPr="0453C5FD">
              <w:rPr>
                <w:b/>
                <w:bCs/>
                <w:color w:val="000000" w:themeColor="text1"/>
              </w:rPr>
              <w:t>Risk Mitigation</w:t>
            </w:r>
            <w:r w:rsidRPr="0453C5FD">
              <w:rPr>
                <w:color w:val="000000" w:themeColor="text1"/>
              </w:rPr>
              <w:t>: Outline</w:t>
            </w:r>
            <w:r w:rsidRPr="0453C5FD" w:rsidR="76604B45">
              <w:rPr>
                <w:color w:val="000000" w:themeColor="text1"/>
              </w:rPr>
              <w:t xml:space="preserve"> any</w:t>
            </w:r>
            <w:r w:rsidRPr="0453C5FD">
              <w:rPr>
                <w:color w:val="000000" w:themeColor="text1"/>
              </w:rPr>
              <w:t xml:space="preserve"> risks to timely </w:t>
            </w:r>
            <w:r w:rsidRPr="0453C5FD" w:rsidR="2E78F30A">
              <w:rPr>
                <w:color w:val="000000" w:themeColor="text1"/>
              </w:rPr>
              <w:t>data</w:t>
            </w:r>
            <w:r w:rsidRPr="0453C5FD">
              <w:rPr>
                <w:color w:val="000000" w:themeColor="text1"/>
              </w:rPr>
              <w:t xml:space="preserve"> </w:t>
            </w:r>
            <w:r w:rsidRPr="0453C5FD" w:rsidR="2E78F30A">
              <w:rPr>
                <w:color w:val="000000" w:themeColor="text1"/>
              </w:rPr>
              <w:t>onboarding</w:t>
            </w:r>
            <w:r w:rsidRPr="0453C5FD">
              <w:rPr>
                <w:color w:val="000000" w:themeColor="text1"/>
              </w:rPr>
              <w:t xml:space="preserve"> and propose mitigation strategies.</w:t>
            </w:r>
          </w:p>
          <w:p w:rsidR="0453C5FD" w:rsidP="0453C5FD" w:rsidRDefault="0453C5FD" w14:paraId="39F3B6EA" w14:textId="2AEE307D">
            <w:pPr>
              <w:rPr>
                <w:rStyle w:val="normaltextrun"/>
                <w:rFonts w:ascii="Arial" w:hAnsi="Arial" w:eastAsia="Arial" w:cs="Arial"/>
                <w:color w:val="000000" w:themeColor="text1"/>
              </w:rPr>
            </w:pPr>
          </w:p>
        </w:tc>
      </w:tr>
    </w:tbl>
    <w:p w:rsidR="0A74DB8D" w:rsidP="20CDD690" w:rsidRDefault="0A74DB8D" w14:paraId="7E487BFB" w14:textId="45B7C41A">
      <w:pPr>
        <w:rPr>
          <w:rFonts w:ascii="Arial" w:hAnsi="Arial" w:eastAsia="Arial" w:cs="Arial"/>
          <w:color w:val="000000" w:themeColor="text1"/>
        </w:rPr>
      </w:pPr>
    </w:p>
    <w:sectPr w:rsidR="0A74DB8D">
      <w:footerReference w:type="default" r:id="rId17"/>
      <w:pgSz w:w="12240" w:h="15840" w:orient="portrait"/>
      <w:pgMar w:top="1440" w:right="1440" w:bottom="1440" w:left="1440" w:header="720" w:footer="720" w:gutter="0"/>
      <w:cols w:space="720"/>
      <w:docGrid w:linePitch="360"/>
      <w:headerReference w:type="default" r:id="Rbbb1a95f73004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DFA" w:rsidRDefault="00440DFA" w14:paraId="11B5A484" w14:textId="77777777">
      <w:pPr>
        <w:spacing w:after="0" w:line="240" w:lineRule="auto"/>
      </w:pPr>
      <w:r>
        <w:separator/>
      </w:r>
    </w:p>
  </w:endnote>
  <w:endnote w:type="continuationSeparator" w:id="0">
    <w:p w:rsidR="00440DFA" w:rsidRDefault="00440DFA" w14:paraId="26A9D7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FF0DBE" w:rsidTr="13FF0DBE" w14:paraId="789A7854" w14:textId="77777777">
      <w:trPr>
        <w:trHeight w:val="300"/>
      </w:trPr>
      <w:tc>
        <w:tcPr>
          <w:tcW w:w="3120" w:type="dxa"/>
        </w:tcPr>
        <w:p w:rsidR="13FF0DBE" w:rsidP="13FF0DBE" w:rsidRDefault="13FF0DBE" w14:paraId="67AC6D65" w14:textId="427626BA">
          <w:pPr>
            <w:pStyle w:val="Header"/>
            <w:ind w:left="-115"/>
          </w:pPr>
        </w:p>
      </w:tc>
      <w:tc>
        <w:tcPr>
          <w:tcW w:w="3120" w:type="dxa"/>
        </w:tcPr>
        <w:p w:rsidR="13FF0DBE" w:rsidP="13FF0DBE" w:rsidRDefault="13FF0DBE" w14:paraId="4F7C8764" w14:textId="7667F40C">
          <w:pPr>
            <w:pStyle w:val="Header"/>
            <w:jc w:val="center"/>
          </w:pPr>
        </w:p>
      </w:tc>
      <w:tc>
        <w:tcPr>
          <w:tcW w:w="3120" w:type="dxa"/>
        </w:tcPr>
        <w:p w:rsidR="13FF0DBE" w:rsidP="13FF0DBE" w:rsidRDefault="13FF0DBE" w14:paraId="286BAE9C" w14:textId="38EF7D07">
          <w:pPr>
            <w:pStyle w:val="Header"/>
            <w:ind w:right="-115"/>
            <w:jc w:val="right"/>
          </w:pPr>
        </w:p>
      </w:tc>
    </w:tr>
  </w:tbl>
  <w:p w:rsidR="13FF0DBE" w:rsidP="13FF0DBE" w:rsidRDefault="13FF0DBE" w14:paraId="14C33B5C" w14:textId="70F7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DFA" w:rsidRDefault="00440DFA" w14:paraId="51B9E568" w14:textId="77777777">
      <w:pPr>
        <w:spacing w:after="0" w:line="240" w:lineRule="auto"/>
      </w:pPr>
      <w:r>
        <w:separator/>
      </w:r>
    </w:p>
  </w:footnote>
  <w:footnote w:type="continuationSeparator" w:id="0">
    <w:p w:rsidR="00440DFA" w:rsidRDefault="00440DFA" w14:paraId="729F526B" w14:textId="77777777">
      <w:pPr>
        <w:spacing w:after="0" w:line="240" w:lineRule="auto"/>
      </w:pPr>
      <w:r>
        <w:continuationSeparator/>
      </w:r>
    </w:p>
  </w:footnote>
</w:footnotes>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BC34B1" w:rsidTr="4EBC34B1" w14:paraId="1756264B">
      <w:trPr>
        <w:trHeight w:val="300"/>
      </w:trPr>
      <w:tc>
        <w:tcPr>
          <w:tcW w:w="3120" w:type="dxa"/>
          <w:tcMar/>
        </w:tcPr>
        <w:p w:rsidR="4EBC34B1" w:rsidP="4EBC34B1" w:rsidRDefault="4EBC34B1" w14:paraId="625E2DBF" w14:textId="1BD229DE">
          <w:pPr>
            <w:pStyle w:val="Header"/>
            <w:bidi w:val="0"/>
            <w:ind w:left="-115"/>
            <w:jc w:val="left"/>
          </w:pPr>
        </w:p>
      </w:tc>
      <w:tc>
        <w:tcPr>
          <w:tcW w:w="3120" w:type="dxa"/>
          <w:tcMar/>
        </w:tcPr>
        <w:p w:rsidR="4EBC34B1" w:rsidP="4EBC34B1" w:rsidRDefault="4EBC34B1" w14:noSpellErr="1" w14:paraId="5A93CE3B" w14:textId="79C5A6B7">
          <w:pPr>
            <w:pStyle w:val="Header"/>
            <w:jc w:val="center"/>
          </w:pPr>
          <w:r w:rsidR="4EBC34B1">
            <w:drawing>
              <wp:inline wp14:editId="5585CFA6" wp14:anchorId="4FFD8064">
                <wp:extent cx="1847850" cy="619125"/>
                <wp:effectExtent l="0" t="0" r="0" b="0"/>
                <wp:docPr id="281162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7264641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619125"/>
                        </a:xfrm>
                        <a:prstGeom xmlns:a="http://schemas.openxmlformats.org/drawingml/2006/main" prst="rect">
                          <a:avLst xmlns:a="http://schemas.openxmlformats.org/drawingml/2006/main"/>
                        </a:prstGeom>
                      </pic:spPr>
                    </pic:pic>
                  </a:graphicData>
                </a:graphic>
              </wp:inline>
            </w:drawing>
          </w:r>
        </w:p>
      </w:tc>
      <w:tc>
        <w:tcPr>
          <w:tcW w:w="3120" w:type="dxa"/>
          <w:tcMar/>
        </w:tcPr>
        <w:p w:rsidR="4EBC34B1" w:rsidP="4EBC34B1" w:rsidRDefault="4EBC34B1" w14:paraId="52B4E90F" w14:textId="321A6841">
          <w:pPr>
            <w:pStyle w:val="Header"/>
            <w:bidi w:val="0"/>
            <w:ind w:right="-115"/>
            <w:jc w:val="right"/>
          </w:pPr>
        </w:p>
      </w:tc>
    </w:tr>
  </w:tbl>
  <w:p w:rsidR="4EBC34B1" w:rsidP="4EBC34B1" w:rsidRDefault="4EBC34B1" w14:paraId="0FF91066" w14:textId="658F68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D416"/>
    <w:multiLevelType w:val="hybridMultilevel"/>
    <w:tmpl w:val="23C21FAE"/>
    <w:lvl w:ilvl="0" w:tplc="CEAE92C6">
      <w:start w:val="1"/>
      <w:numFmt w:val="bullet"/>
      <w:lvlText w:val="-"/>
      <w:lvlJc w:val="left"/>
      <w:pPr>
        <w:ind w:left="720" w:hanging="360"/>
      </w:pPr>
      <w:rPr>
        <w:rFonts w:hint="default" w:ascii="Aptos" w:hAnsi="Aptos"/>
      </w:rPr>
    </w:lvl>
    <w:lvl w:ilvl="1" w:tplc="2A30F4B2">
      <w:start w:val="1"/>
      <w:numFmt w:val="bullet"/>
      <w:lvlText w:val="o"/>
      <w:lvlJc w:val="left"/>
      <w:pPr>
        <w:ind w:left="1440" w:hanging="360"/>
      </w:pPr>
      <w:rPr>
        <w:rFonts w:hint="default" w:ascii="Courier New" w:hAnsi="Courier New"/>
      </w:rPr>
    </w:lvl>
    <w:lvl w:ilvl="2" w:tplc="0F324B3C">
      <w:start w:val="1"/>
      <w:numFmt w:val="bullet"/>
      <w:lvlText w:val=""/>
      <w:lvlJc w:val="left"/>
      <w:pPr>
        <w:ind w:left="2160" w:hanging="360"/>
      </w:pPr>
      <w:rPr>
        <w:rFonts w:hint="default" w:ascii="Wingdings" w:hAnsi="Wingdings"/>
      </w:rPr>
    </w:lvl>
    <w:lvl w:ilvl="3" w:tplc="8F843CBE">
      <w:start w:val="1"/>
      <w:numFmt w:val="bullet"/>
      <w:lvlText w:val=""/>
      <w:lvlJc w:val="left"/>
      <w:pPr>
        <w:ind w:left="2880" w:hanging="360"/>
      </w:pPr>
      <w:rPr>
        <w:rFonts w:hint="default" w:ascii="Symbol" w:hAnsi="Symbol"/>
      </w:rPr>
    </w:lvl>
    <w:lvl w:ilvl="4" w:tplc="B1EC3BF0">
      <w:start w:val="1"/>
      <w:numFmt w:val="bullet"/>
      <w:lvlText w:val="o"/>
      <w:lvlJc w:val="left"/>
      <w:pPr>
        <w:ind w:left="3600" w:hanging="360"/>
      </w:pPr>
      <w:rPr>
        <w:rFonts w:hint="default" w:ascii="Courier New" w:hAnsi="Courier New"/>
      </w:rPr>
    </w:lvl>
    <w:lvl w:ilvl="5" w:tplc="B3DC9502">
      <w:start w:val="1"/>
      <w:numFmt w:val="bullet"/>
      <w:lvlText w:val=""/>
      <w:lvlJc w:val="left"/>
      <w:pPr>
        <w:ind w:left="4320" w:hanging="360"/>
      </w:pPr>
      <w:rPr>
        <w:rFonts w:hint="default" w:ascii="Wingdings" w:hAnsi="Wingdings"/>
      </w:rPr>
    </w:lvl>
    <w:lvl w:ilvl="6" w:tplc="DD6AD3D4">
      <w:start w:val="1"/>
      <w:numFmt w:val="bullet"/>
      <w:lvlText w:val=""/>
      <w:lvlJc w:val="left"/>
      <w:pPr>
        <w:ind w:left="5040" w:hanging="360"/>
      </w:pPr>
      <w:rPr>
        <w:rFonts w:hint="default" w:ascii="Symbol" w:hAnsi="Symbol"/>
      </w:rPr>
    </w:lvl>
    <w:lvl w:ilvl="7" w:tplc="F7087C56">
      <w:start w:val="1"/>
      <w:numFmt w:val="bullet"/>
      <w:lvlText w:val="o"/>
      <w:lvlJc w:val="left"/>
      <w:pPr>
        <w:ind w:left="5760" w:hanging="360"/>
      </w:pPr>
      <w:rPr>
        <w:rFonts w:hint="default" w:ascii="Courier New" w:hAnsi="Courier New"/>
      </w:rPr>
    </w:lvl>
    <w:lvl w:ilvl="8" w:tplc="6164AB9E">
      <w:start w:val="1"/>
      <w:numFmt w:val="bullet"/>
      <w:lvlText w:val=""/>
      <w:lvlJc w:val="left"/>
      <w:pPr>
        <w:ind w:left="6480" w:hanging="360"/>
      </w:pPr>
      <w:rPr>
        <w:rFonts w:hint="default" w:ascii="Wingdings" w:hAnsi="Wingdings"/>
      </w:rPr>
    </w:lvl>
  </w:abstractNum>
  <w:abstractNum w:abstractNumId="1" w15:restartNumberingAfterBreak="0">
    <w:nsid w:val="4221C418"/>
    <w:multiLevelType w:val="hybridMultilevel"/>
    <w:tmpl w:val="FFFFFFFF"/>
    <w:lvl w:ilvl="0" w:tplc="0D220FCE">
      <w:start w:val="1"/>
      <w:numFmt w:val="bullet"/>
      <w:lvlText w:val="-"/>
      <w:lvlJc w:val="left"/>
      <w:pPr>
        <w:ind w:left="720" w:hanging="360"/>
      </w:pPr>
      <w:rPr>
        <w:rFonts w:hint="default" w:ascii="Aptos" w:hAnsi="Aptos"/>
      </w:rPr>
    </w:lvl>
    <w:lvl w:ilvl="1" w:tplc="95C2D036">
      <w:start w:val="1"/>
      <w:numFmt w:val="bullet"/>
      <w:lvlText w:val="o"/>
      <w:lvlJc w:val="left"/>
      <w:pPr>
        <w:ind w:left="1440" w:hanging="360"/>
      </w:pPr>
      <w:rPr>
        <w:rFonts w:hint="default" w:ascii="Courier New" w:hAnsi="Courier New"/>
      </w:rPr>
    </w:lvl>
    <w:lvl w:ilvl="2" w:tplc="3F04F77C">
      <w:start w:val="1"/>
      <w:numFmt w:val="bullet"/>
      <w:lvlText w:val=""/>
      <w:lvlJc w:val="left"/>
      <w:pPr>
        <w:ind w:left="2160" w:hanging="360"/>
      </w:pPr>
      <w:rPr>
        <w:rFonts w:hint="default" w:ascii="Wingdings" w:hAnsi="Wingdings"/>
      </w:rPr>
    </w:lvl>
    <w:lvl w:ilvl="3" w:tplc="FA7CF672">
      <w:start w:val="1"/>
      <w:numFmt w:val="bullet"/>
      <w:lvlText w:val=""/>
      <w:lvlJc w:val="left"/>
      <w:pPr>
        <w:ind w:left="2880" w:hanging="360"/>
      </w:pPr>
      <w:rPr>
        <w:rFonts w:hint="default" w:ascii="Symbol" w:hAnsi="Symbol"/>
      </w:rPr>
    </w:lvl>
    <w:lvl w:ilvl="4" w:tplc="210A0320">
      <w:start w:val="1"/>
      <w:numFmt w:val="bullet"/>
      <w:lvlText w:val="o"/>
      <w:lvlJc w:val="left"/>
      <w:pPr>
        <w:ind w:left="3600" w:hanging="360"/>
      </w:pPr>
      <w:rPr>
        <w:rFonts w:hint="default" w:ascii="Courier New" w:hAnsi="Courier New"/>
      </w:rPr>
    </w:lvl>
    <w:lvl w:ilvl="5" w:tplc="431A9298">
      <w:start w:val="1"/>
      <w:numFmt w:val="bullet"/>
      <w:lvlText w:val=""/>
      <w:lvlJc w:val="left"/>
      <w:pPr>
        <w:ind w:left="4320" w:hanging="360"/>
      </w:pPr>
      <w:rPr>
        <w:rFonts w:hint="default" w:ascii="Wingdings" w:hAnsi="Wingdings"/>
      </w:rPr>
    </w:lvl>
    <w:lvl w:ilvl="6" w:tplc="519A003C">
      <w:start w:val="1"/>
      <w:numFmt w:val="bullet"/>
      <w:lvlText w:val=""/>
      <w:lvlJc w:val="left"/>
      <w:pPr>
        <w:ind w:left="5040" w:hanging="360"/>
      </w:pPr>
      <w:rPr>
        <w:rFonts w:hint="default" w:ascii="Symbol" w:hAnsi="Symbol"/>
      </w:rPr>
    </w:lvl>
    <w:lvl w:ilvl="7" w:tplc="3EAA658A">
      <w:start w:val="1"/>
      <w:numFmt w:val="bullet"/>
      <w:lvlText w:val="o"/>
      <w:lvlJc w:val="left"/>
      <w:pPr>
        <w:ind w:left="5760" w:hanging="360"/>
      </w:pPr>
      <w:rPr>
        <w:rFonts w:hint="default" w:ascii="Courier New" w:hAnsi="Courier New"/>
      </w:rPr>
    </w:lvl>
    <w:lvl w:ilvl="8" w:tplc="C4B261B6">
      <w:start w:val="1"/>
      <w:numFmt w:val="bullet"/>
      <w:lvlText w:val=""/>
      <w:lvlJc w:val="left"/>
      <w:pPr>
        <w:ind w:left="6480" w:hanging="360"/>
      </w:pPr>
      <w:rPr>
        <w:rFonts w:hint="default" w:ascii="Wingdings" w:hAnsi="Wingdings"/>
      </w:rPr>
    </w:lvl>
  </w:abstractNum>
  <w:abstractNum w:abstractNumId="2" w15:restartNumberingAfterBreak="0">
    <w:nsid w:val="4DFACB04"/>
    <w:multiLevelType w:val="hybridMultilevel"/>
    <w:tmpl w:val="5DB8CADC"/>
    <w:lvl w:ilvl="0" w:tplc="11487676">
      <w:start w:val="1"/>
      <w:numFmt w:val="bullet"/>
      <w:lvlText w:val="-"/>
      <w:lvlJc w:val="left"/>
      <w:pPr>
        <w:ind w:left="720" w:hanging="360"/>
      </w:pPr>
      <w:rPr>
        <w:rFonts w:hint="default" w:ascii="Aptos" w:hAnsi="Aptos"/>
      </w:rPr>
    </w:lvl>
    <w:lvl w:ilvl="1" w:tplc="F2CC3F0A">
      <w:start w:val="1"/>
      <w:numFmt w:val="bullet"/>
      <w:lvlText w:val="o"/>
      <w:lvlJc w:val="left"/>
      <w:pPr>
        <w:ind w:left="1440" w:hanging="360"/>
      </w:pPr>
      <w:rPr>
        <w:rFonts w:hint="default" w:ascii="Courier New" w:hAnsi="Courier New"/>
      </w:rPr>
    </w:lvl>
    <w:lvl w:ilvl="2" w:tplc="DDE4EE4A">
      <w:start w:val="1"/>
      <w:numFmt w:val="bullet"/>
      <w:lvlText w:val=""/>
      <w:lvlJc w:val="left"/>
      <w:pPr>
        <w:ind w:left="2160" w:hanging="360"/>
      </w:pPr>
      <w:rPr>
        <w:rFonts w:hint="default" w:ascii="Wingdings" w:hAnsi="Wingdings"/>
      </w:rPr>
    </w:lvl>
    <w:lvl w:ilvl="3" w:tplc="14A67C56">
      <w:start w:val="1"/>
      <w:numFmt w:val="bullet"/>
      <w:lvlText w:val=""/>
      <w:lvlJc w:val="left"/>
      <w:pPr>
        <w:ind w:left="2880" w:hanging="360"/>
      </w:pPr>
      <w:rPr>
        <w:rFonts w:hint="default" w:ascii="Symbol" w:hAnsi="Symbol"/>
      </w:rPr>
    </w:lvl>
    <w:lvl w:ilvl="4" w:tplc="73A64540">
      <w:start w:val="1"/>
      <w:numFmt w:val="bullet"/>
      <w:lvlText w:val="o"/>
      <w:lvlJc w:val="left"/>
      <w:pPr>
        <w:ind w:left="3600" w:hanging="360"/>
      </w:pPr>
      <w:rPr>
        <w:rFonts w:hint="default" w:ascii="Courier New" w:hAnsi="Courier New"/>
      </w:rPr>
    </w:lvl>
    <w:lvl w:ilvl="5" w:tplc="17F205EC">
      <w:start w:val="1"/>
      <w:numFmt w:val="bullet"/>
      <w:lvlText w:val=""/>
      <w:lvlJc w:val="left"/>
      <w:pPr>
        <w:ind w:left="4320" w:hanging="360"/>
      </w:pPr>
      <w:rPr>
        <w:rFonts w:hint="default" w:ascii="Wingdings" w:hAnsi="Wingdings"/>
      </w:rPr>
    </w:lvl>
    <w:lvl w:ilvl="6" w:tplc="7FB267CC">
      <w:start w:val="1"/>
      <w:numFmt w:val="bullet"/>
      <w:lvlText w:val=""/>
      <w:lvlJc w:val="left"/>
      <w:pPr>
        <w:ind w:left="5040" w:hanging="360"/>
      </w:pPr>
      <w:rPr>
        <w:rFonts w:hint="default" w:ascii="Symbol" w:hAnsi="Symbol"/>
      </w:rPr>
    </w:lvl>
    <w:lvl w:ilvl="7" w:tplc="849497C6">
      <w:start w:val="1"/>
      <w:numFmt w:val="bullet"/>
      <w:lvlText w:val="o"/>
      <w:lvlJc w:val="left"/>
      <w:pPr>
        <w:ind w:left="5760" w:hanging="360"/>
      </w:pPr>
      <w:rPr>
        <w:rFonts w:hint="default" w:ascii="Courier New" w:hAnsi="Courier New"/>
      </w:rPr>
    </w:lvl>
    <w:lvl w:ilvl="8" w:tplc="04AE08D4">
      <w:start w:val="1"/>
      <w:numFmt w:val="bullet"/>
      <w:lvlText w:val=""/>
      <w:lvlJc w:val="left"/>
      <w:pPr>
        <w:ind w:left="6480" w:hanging="360"/>
      </w:pPr>
      <w:rPr>
        <w:rFonts w:hint="default" w:ascii="Wingdings" w:hAnsi="Wingdings"/>
      </w:rPr>
    </w:lvl>
  </w:abstractNum>
  <w:abstractNum w:abstractNumId="3" w15:restartNumberingAfterBreak="0">
    <w:nsid w:val="5C10F65E"/>
    <w:multiLevelType w:val="hybridMultilevel"/>
    <w:tmpl w:val="0C72D57C"/>
    <w:lvl w:ilvl="0" w:tplc="718451B4">
      <w:start w:val="1"/>
      <w:numFmt w:val="bullet"/>
      <w:lvlText w:val="-"/>
      <w:lvlJc w:val="left"/>
      <w:pPr>
        <w:ind w:left="720" w:hanging="360"/>
      </w:pPr>
      <w:rPr>
        <w:rFonts w:hint="default" w:ascii="Aptos" w:hAnsi="Aptos"/>
      </w:rPr>
    </w:lvl>
    <w:lvl w:ilvl="1" w:tplc="CF34B436">
      <w:start w:val="1"/>
      <w:numFmt w:val="bullet"/>
      <w:lvlText w:val="o"/>
      <w:lvlJc w:val="left"/>
      <w:pPr>
        <w:ind w:left="1440" w:hanging="360"/>
      </w:pPr>
      <w:rPr>
        <w:rFonts w:hint="default" w:ascii="Aptos" w:hAnsi="Aptos"/>
      </w:rPr>
    </w:lvl>
    <w:lvl w:ilvl="2" w:tplc="EE8AC09A">
      <w:start w:val="1"/>
      <w:numFmt w:val="bullet"/>
      <w:lvlText w:val=""/>
      <w:lvlJc w:val="left"/>
      <w:pPr>
        <w:ind w:left="2160" w:hanging="360"/>
      </w:pPr>
      <w:rPr>
        <w:rFonts w:hint="default" w:ascii="Wingdings" w:hAnsi="Wingdings"/>
      </w:rPr>
    </w:lvl>
    <w:lvl w:ilvl="3" w:tplc="8B6C2660">
      <w:start w:val="1"/>
      <w:numFmt w:val="bullet"/>
      <w:lvlText w:val=""/>
      <w:lvlJc w:val="left"/>
      <w:pPr>
        <w:ind w:left="2880" w:hanging="360"/>
      </w:pPr>
      <w:rPr>
        <w:rFonts w:hint="default" w:ascii="Symbol" w:hAnsi="Symbol"/>
      </w:rPr>
    </w:lvl>
    <w:lvl w:ilvl="4" w:tplc="98709980">
      <w:start w:val="1"/>
      <w:numFmt w:val="bullet"/>
      <w:lvlText w:val="o"/>
      <w:lvlJc w:val="left"/>
      <w:pPr>
        <w:ind w:left="3600" w:hanging="360"/>
      </w:pPr>
      <w:rPr>
        <w:rFonts w:hint="default" w:ascii="Courier New" w:hAnsi="Courier New"/>
      </w:rPr>
    </w:lvl>
    <w:lvl w:ilvl="5" w:tplc="3C085EA2">
      <w:start w:val="1"/>
      <w:numFmt w:val="bullet"/>
      <w:lvlText w:val=""/>
      <w:lvlJc w:val="left"/>
      <w:pPr>
        <w:ind w:left="4320" w:hanging="360"/>
      </w:pPr>
      <w:rPr>
        <w:rFonts w:hint="default" w:ascii="Wingdings" w:hAnsi="Wingdings"/>
      </w:rPr>
    </w:lvl>
    <w:lvl w:ilvl="6" w:tplc="F29874B8">
      <w:start w:val="1"/>
      <w:numFmt w:val="bullet"/>
      <w:lvlText w:val=""/>
      <w:lvlJc w:val="left"/>
      <w:pPr>
        <w:ind w:left="5040" w:hanging="360"/>
      </w:pPr>
      <w:rPr>
        <w:rFonts w:hint="default" w:ascii="Symbol" w:hAnsi="Symbol"/>
      </w:rPr>
    </w:lvl>
    <w:lvl w:ilvl="7" w:tplc="30E42AB2">
      <w:start w:val="1"/>
      <w:numFmt w:val="bullet"/>
      <w:lvlText w:val="o"/>
      <w:lvlJc w:val="left"/>
      <w:pPr>
        <w:ind w:left="5760" w:hanging="360"/>
      </w:pPr>
      <w:rPr>
        <w:rFonts w:hint="default" w:ascii="Courier New" w:hAnsi="Courier New"/>
      </w:rPr>
    </w:lvl>
    <w:lvl w:ilvl="8" w:tplc="53BCAF60">
      <w:start w:val="1"/>
      <w:numFmt w:val="bullet"/>
      <w:lvlText w:val=""/>
      <w:lvlJc w:val="left"/>
      <w:pPr>
        <w:ind w:left="6480" w:hanging="360"/>
      </w:pPr>
      <w:rPr>
        <w:rFonts w:hint="default" w:ascii="Wingdings" w:hAnsi="Wingdings"/>
      </w:rPr>
    </w:lvl>
  </w:abstractNum>
  <w:num w:numId="1" w16cid:durableId="1303459842">
    <w:abstractNumId w:val="0"/>
  </w:num>
  <w:num w:numId="2" w16cid:durableId="379213634">
    <w:abstractNumId w:val="1"/>
  </w:num>
  <w:num w:numId="3" w16cid:durableId="1135484955">
    <w:abstractNumId w:val="2"/>
  </w:num>
  <w:num w:numId="4" w16cid:durableId="195120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131A2"/>
    <w:rsid w:val="00006287"/>
    <w:rsid w:val="00014E51"/>
    <w:rsid w:val="0001731E"/>
    <w:rsid w:val="00017510"/>
    <w:rsid w:val="0001E6C6"/>
    <w:rsid w:val="00047C47"/>
    <w:rsid w:val="00054DDB"/>
    <w:rsid w:val="000727C6"/>
    <w:rsid w:val="000A45D3"/>
    <w:rsid w:val="000B01BA"/>
    <w:rsid w:val="000C6F30"/>
    <w:rsid w:val="000D2EE8"/>
    <w:rsid w:val="0010159C"/>
    <w:rsid w:val="001059B3"/>
    <w:rsid w:val="00106291"/>
    <w:rsid w:val="00111399"/>
    <w:rsid w:val="00140BEC"/>
    <w:rsid w:val="00142A3C"/>
    <w:rsid w:val="00142EA9"/>
    <w:rsid w:val="001457D0"/>
    <w:rsid w:val="00157163"/>
    <w:rsid w:val="00182862"/>
    <w:rsid w:val="001922BD"/>
    <w:rsid w:val="001962C7"/>
    <w:rsid w:val="00204C03"/>
    <w:rsid w:val="002062C1"/>
    <w:rsid w:val="0021414B"/>
    <w:rsid w:val="00217B79"/>
    <w:rsid w:val="00223B76"/>
    <w:rsid w:val="00241500"/>
    <w:rsid w:val="00242842"/>
    <w:rsid w:val="002526A0"/>
    <w:rsid w:val="00277C3D"/>
    <w:rsid w:val="00282C89"/>
    <w:rsid w:val="002923AF"/>
    <w:rsid w:val="00292D94"/>
    <w:rsid w:val="002A3738"/>
    <w:rsid w:val="002A61CD"/>
    <w:rsid w:val="002B4E89"/>
    <w:rsid w:val="002C2B0D"/>
    <w:rsid w:val="002D38F3"/>
    <w:rsid w:val="002F3638"/>
    <w:rsid w:val="002F38EC"/>
    <w:rsid w:val="002F6613"/>
    <w:rsid w:val="003017EA"/>
    <w:rsid w:val="00335BBB"/>
    <w:rsid w:val="00353C71"/>
    <w:rsid w:val="00384118"/>
    <w:rsid w:val="00392D7A"/>
    <w:rsid w:val="00395F18"/>
    <w:rsid w:val="003B6587"/>
    <w:rsid w:val="004123C5"/>
    <w:rsid w:val="004126D8"/>
    <w:rsid w:val="00417EFC"/>
    <w:rsid w:val="00427EC7"/>
    <w:rsid w:val="00432E18"/>
    <w:rsid w:val="00437D91"/>
    <w:rsid w:val="00440DFA"/>
    <w:rsid w:val="004668E5"/>
    <w:rsid w:val="00487C7F"/>
    <w:rsid w:val="0049514B"/>
    <w:rsid w:val="004B1043"/>
    <w:rsid w:val="004B4EF2"/>
    <w:rsid w:val="004D0B17"/>
    <w:rsid w:val="00522A54"/>
    <w:rsid w:val="00524A22"/>
    <w:rsid w:val="00550BC2"/>
    <w:rsid w:val="005600D7"/>
    <w:rsid w:val="00580215"/>
    <w:rsid w:val="005B3567"/>
    <w:rsid w:val="005C107C"/>
    <w:rsid w:val="005C7570"/>
    <w:rsid w:val="005D181E"/>
    <w:rsid w:val="005D5587"/>
    <w:rsid w:val="00626DBA"/>
    <w:rsid w:val="006620C9"/>
    <w:rsid w:val="00677D2C"/>
    <w:rsid w:val="0068679B"/>
    <w:rsid w:val="00690721"/>
    <w:rsid w:val="00692C2C"/>
    <w:rsid w:val="006A29D6"/>
    <w:rsid w:val="006C5965"/>
    <w:rsid w:val="006D1F19"/>
    <w:rsid w:val="006D4101"/>
    <w:rsid w:val="00716DC3"/>
    <w:rsid w:val="00736F9B"/>
    <w:rsid w:val="0074506F"/>
    <w:rsid w:val="00747BFE"/>
    <w:rsid w:val="0075455B"/>
    <w:rsid w:val="00782666"/>
    <w:rsid w:val="00791A37"/>
    <w:rsid w:val="00797E84"/>
    <w:rsid w:val="007A680A"/>
    <w:rsid w:val="007A7501"/>
    <w:rsid w:val="007B7002"/>
    <w:rsid w:val="007C0A92"/>
    <w:rsid w:val="007D4409"/>
    <w:rsid w:val="007D6366"/>
    <w:rsid w:val="007E2899"/>
    <w:rsid w:val="007E763F"/>
    <w:rsid w:val="008579B9"/>
    <w:rsid w:val="008656AF"/>
    <w:rsid w:val="00885DDE"/>
    <w:rsid w:val="008B69FB"/>
    <w:rsid w:val="008C66FC"/>
    <w:rsid w:val="008D790F"/>
    <w:rsid w:val="00916294"/>
    <w:rsid w:val="0092430B"/>
    <w:rsid w:val="00925687"/>
    <w:rsid w:val="00926EFE"/>
    <w:rsid w:val="00927F18"/>
    <w:rsid w:val="00941BDA"/>
    <w:rsid w:val="009875EF"/>
    <w:rsid w:val="00992111"/>
    <w:rsid w:val="00995F74"/>
    <w:rsid w:val="009B5293"/>
    <w:rsid w:val="009C4909"/>
    <w:rsid w:val="009C557E"/>
    <w:rsid w:val="009E5910"/>
    <w:rsid w:val="00A35DB0"/>
    <w:rsid w:val="00AD313B"/>
    <w:rsid w:val="00B17E7D"/>
    <w:rsid w:val="00B22DEE"/>
    <w:rsid w:val="00B30E9C"/>
    <w:rsid w:val="00B34604"/>
    <w:rsid w:val="00B351EB"/>
    <w:rsid w:val="00B500D1"/>
    <w:rsid w:val="00B52F34"/>
    <w:rsid w:val="00B55D8D"/>
    <w:rsid w:val="00B730C9"/>
    <w:rsid w:val="00B834A8"/>
    <w:rsid w:val="00B941F6"/>
    <w:rsid w:val="00B948FF"/>
    <w:rsid w:val="00BC2DB7"/>
    <w:rsid w:val="00BD5312"/>
    <w:rsid w:val="00BD6F82"/>
    <w:rsid w:val="00BE3D00"/>
    <w:rsid w:val="00BE6AB2"/>
    <w:rsid w:val="00BF48FC"/>
    <w:rsid w:val="00C04CBF"/>
    <w:rsid w:val="00C20386"/>
    <w:rsid w:val="00CA24A1"/>
    <w:rsid w:val="00CD2822"/>
    <w:rsid w:val="00D00C9E"/>
    <w:rsid w:val="00D12239"/>
    <w:rsid w:val="00D35C75"/>
    <w:rsid w:val="00D41A23"/>
    <w:rsid w:val="00DA7469"/>
    <w:rsid w:val="00DC6907"/>
    <w:rsid w:val="00DD0A48"/>
    <w:rsid w:val="00DD716E"/>
    <w:rsid w:val="00DE58F9"/>
    <w:rsid w:val="00E07129"/>
    <w:rsid w:val="00E16EDB"/>
    <w:rsid w:val="00E5634E"/>
    <w:rsid w:val="00EB2024"/>
    <w:rsid w:val="00EB394E"/>
    <w:rsid w:val="00EE1812"/>
    <w:rsid w:val="00EF5156"/>
    <w:rsid w:val="00F74F52"/>
    <w:rsid w:val="00F9532E"/>
    <w:rsid w:val="00FA099C"/>
    <w:rsid w:val="00FC18AF"/>
    <w:rsid w:val="00FC1B52"/>
    <w:rsid w:val="00FC2BC3"/>
    <w:rsid w:val="00FE7DAF"/>
    <w:rsid w:val="010E6BED"/>
    <w:rsid w:val="01361CF6"/>
    <w:rsid w:val="01491F6B"/>
    <w:rsid w:val="0149FEA3"/>
    <w:rsid w:val="0206C9F5"/>
    <w:rsid w:val="020F826F"/>
    <w:rsid w:val="025EEA3B"/>
    <w:rsid w:val="03192FFC"/>
    <w:rsid w:val="031D415D"/>
    <w:rsid w:val="032949BF"/>
    <w:rsid w:val="0335AA58"/>
    <w:rsid w:val="03372FE0"/>
    <w:rsid w:val="0369796E"/>
    <w:rsid w:val="036A5E6F"/>
    <w:rsid w:val="038721BA"/>
    <w:rsid w:val="03E8C253"/>
    <w:rsid w:val="040A5527"/>
    <w:rsid w:val="0453C5FD"/>
    <w:rsid w:val="0466D84C"/>
    <w:rsid w:val="049CC4CF"/>
    <w:rsid w:val="05C705E5"/>
    <w:rsid w:val="0617576F"/>
    <w:rsid w:val="0618F60F"/>
    <w:rsid w:val="0620897A"/>
    <w:rsid w:val="0652CC64"/>
    <w:rsid w:val="0682960E"/>
    <w:rsid w:val="069BECFD"/>
    <w:rsid w:val="06C9B238"/>
    <w:rsid w:val="06DBD151"/>
    <w:rsid w:val="071BBAA3"/>
    <w:rsid w:val="07EA8E91"/>
    <w:rsid w:val="08654498"/>
    <w:rsid w:val="088D743E"/>
    <w:rsid w:val="09D94CAD"/>
    <w:rsid w:val="0A105E23"/>
    <w:rsid w:val="0A2131A2"/>
    <w:rsid w:val="0A74DB8D"/>
    <w:rsid w:val="0AAFC9B2"/>
    <w:rsid w:val="0B48F222"/>
    <w:rsid w:val="0BB421C6"/>
    <w:rsid w:val="0C926A7D"/>
    <w:rsid w:val="0CB088C2"/>
    <w:rsid w:val="0D5D2E80"/>
    <w:rsid w:val="0DAE20BE"/>
    <w:rsid w:val="0DB47392"/>
    <w:rsid w:val="0EFFEA12"/>
    <w:rsid w:val="0F07E8D1"/>
    <w:rsid w:val="0F2AA4A4"/>
    <w:rsid w:val="101B4B3D"/>
    <w:rsid w:val="11153525"/>
    <w:rsid w:val="11182D04"/>
    <w:rsid w:val="112A92F6"/>
    <w:rsid w:val="114EB363"/>
    <w:rsid w:val="118AA15F"/>
    <w:rsid w:val="118DFBB8"/>
    <w:rsid w:val="11AD9FB0"/>
    <w:rsid w:val="11DECE5F"/>
    <w:rsid w:val="120F8239"/>
    <w:rsid w:val="1258A710"/>
    <w:rsid w:val="12ACC86D"/>
    <w:rsid w:val="12EBD6AF"/>
    <w:rsid w:val="133EADCA"/>
    <w:rsid w:val="136F1EE8"/>
    <w:rsid w:val="13717D60"/>
    <w:rsid w:val="13791665"/>
    <w:rsid w:val="138D8C0E"/>
    <w:rsid w:val="13BD2F08"/>
    <w:rsid w:val="13FF0DBE"/>
    <w:rsid w:val="14A60D4D"/>
    <w:rsid w:val="15694DAC"/>
    <w:rsid w:val="15D06481"/>
    <w:rsid w:val="15D79CF7"/>
    <w:rsid w:val="15E469DE"/>
    <w:rsid w:val="15FD76BC"/>
    <w:rsid w:val="16C00402"/>
    <w:rsid w:val="179733E6"/>
    <w:rsid w:val="17B111FB"/>
    <w:rsid w:val="17D544F1"/>
    <w:rsid w:val="1802337E"/>
    <w:rsid w:val="18284486"/>
    <w:rsid w:val="18542C72"/>
    <w:rsid w:val="19083C9A"/>
    <w:rsid w:val="19262A97"/>
    <w:rsid w:val="193642DD"/>
    <w:rsid w:val="19A8D2EC"/>
    <w:rsid w:val="19F28810"/>
    <w:rsid w:val="1A3D56C2"/>
    <w:rsid w:val="1A7834FD"/>
    <w:rsid w:val="1ADB792B"/>
    <w:rsid w:val="1B0386E3"/>
    <w:rsid w:val="1B3B0A0D"/>
    <w:rsid w:val="1B5C563A"/>
    <w:rsid w:val="1B9AC768"/>
    <w:rsid w:val="1C099223"/>
    <w:rsid w:val="1C25FF6C"/>
    <w:rsid w:val="1C594E4E"/>
    <w:rsid w:val="1C735BEA"/>
    <w:rsid w:val="1CA5AB95"/>
    <w:rsid w:val="1D603C3A"/>
    <w:rsid w:val="1D705D59"/>
    <w:rsid w:val="1EA5D338"/>
    <w:rsid w:val="1F4F4618"/>
    <w:rsid w:val="1F53712F"/>
    <w:rsid w:val="203DB727"/>
    <w:rsid w:val="20C1F762"/>
    <w:rsid w:val="20CDD690"/>
    <w:rsid w:val="20D5A63E"/>
    <w:rsid w:val="20E82EA1"/>
    <w:rsid w:val="2142872B"/>
    <w:rsid w:val="2181E11C"/>
    <w:rsid w:val="22628C51"/>
    <w:rsid w:val="22B99878"/>
    <w:rsid w:val="22BF057F"/>
    <w:rsid w:val="230FA1A8"/>
    <w:rsid w:val="238908C1"/>
    <w:rsid w:val="23ADF245"/>
    <w:rsid w:val="23C3FF2E"/>
    <w:rsid w:val="24374BD7"/>
    <w:rsid w:val="249F2280"/>
    <w:rsid w:val="24C07470"/>
    <w:rsid w:val="24C9606D"/>
    <w:rsid w:val="24C99E78"/>
    <w:rsid w:val="259F09B7"/>
    <w:rsid w:val="25B682AE"/>
    <w:rsid w:val="2627A152"/>
    <w:rsid w:val="26704FCB"/>
    <w:rsid w:val="26773682"/>
    <w:rsid w:val="26D9DC05"/>
    <w:rsid w:val="26F22416"/>
    <w:rsid w:val="27239B1A"/>
    <w:rsid w:val="276E86DC"/>
    <w:rsid w:val="278DD428"/>
    <w:rsid w:val="27C4BB63"/>
    <w:rsid w:val="28272CAA"/>
    <w:rsid w:val="297632FB"/>
    <w:rsid w:val="297AA8DB"/>
    <w:rsid w:val="298B1374"/>
    <w:rsid w:val="2A42F8B0"/>
    <w:rsid w:val="2AE28001"/>
    <w:rsid w:val="2B10F01D"/>
    <w:rsid w:val="2B5059E3"/>
    <w:rsid w:val="2B5A350E"/>
    <w:rsid w:val="2B65E55A"/>
    <w:rsid w:val="2BCA422B"/>
    <w:rsid w:val="2C163E13"/>
    <w:rsid w:val="2C52CE51"/>
    <w:rsid w:val="2C67DD16"/>
    <w:rsid w:val="2CA50988"/>
    <w:rsid w:val="2CA632E8"/>
    <w:rsid w:val="2CEA7375"/>
    <w:rsid w:val="2D986D9B"/>
    <w:rsid w:val="2DBD7EDB"/>
    <w:rsid w:val="2E78F30A"/>
    <w:rsid w:val="2F063498"/>
    <w:rsid w:val="2F10FC0E"/>
    <w:rsid w:val="2F15573C"/>
    <w:rsid w:val="2F52A023"/>
    <w:rsid w:val="2F5DDD98"/>
    <w:rsid w:val="2FDB3C28"/>
    <w:rsid w:val="2FDEBECF"/>
    <w:rsid w:val="3032F56F"/>
    <w:rsid w:val="30814BD7"/>
    <w:rsid w:val="30AC8461"/>
    <w:rsid w:val="3145E2C3"/>
    <w:rsid w:val="3151D28B"/>
    <w:rsid w:val="31D10BBD"/>
    <w:rsid w:val="324C37F2"/>
    <w:rsid w:val="325AB040"/>
    <w:rsid w:val="3267B60D"/>
    <w:rsid w:val="32B2C124"/>
    <w:rsid w:val="330020EA"/>
    <w:rsid w:val="335917F4"/>
    <w:rsid w:val="33E7C4FD"/>
    <w:rsid w:val="33F47BFF"/>
    <w:rsid w:val="340FE4F8"/>
    <w:rsid w:val="34970992"/>
    <w:rsid w:val="34D7C5CD"/>
    <w:rsid w:val="34F1BEEE"/>
    <w:rsid w:val="3538B2CA"/>
    <w:rsid w:val="3605515C"/>
    <w:rsid w:val="36D1DBA2"/>
    <w:rsid w:val="36F11F4D"/>
    <w:rsid w:val="37195636"/>
    <w:rsid w:val="379C2002"/>
    <w:rsid w:val="37A870C3"/>
    <w:rsid w:val="382C9621"/>
    <w:rsid w:val="38D5BA17"/>
    <w:rsid w:val="38DD2BD5"/>
    <w:rsid w:val="397B875C"/>
    <w:rsid w:val="39CAAA68"/>
    <w:rsid w:val="39E66DF5"/>
    <w:rsid w:val="3AEF8EEF"/>
    <w:rsid w:val="3B0D0881"/>
    <w:rsid w:val="3B5BD0C0"/>
    <w:rsid w:val="3C93B8BB"/>
    <w:rsid w:val="3CE5B7F3"/>
    <w:rsid w:val="3CEE5F75"/>
    <w:rsid w:val="3D1F4F20"/>
    <w:rsid w:val="3D245DFA"/>
    <w:rsid w:val="3E0154BC"/>
    <w:rsid w:val="3E3A41EF"/>
    <w:rsid w:val="3EAD4604"/>
    <w:rsid w:val="3EB05847"/>
    <w:rsid w:val="3F0CA1D7"/>
    <w:rsid w:val="3F10EA8A"/>
    <w:rsid w:val="3F73D48B"/>
    <w:rsid w:val="3F7DFFAF"/>
    <w:rsid w:val="3FA847A0"/>
    <w:rsid w:val="402191B8"/>
    <w:rsid w:val="405681E9"/>
    <w:rsid w:val="40EF6F0F"/>
    <w:rsid w:val="410AD595"/>
    <w:rsid w:val="420AEFB8"/>
    <w:rsid w:val="42244E89"/>
    <w:rsid w:val="42F5B0EC"/>
    <w:rsid w:val="430D696C"/>
    <w:rsid w:val="439E0F80"/>
    <w:rsid w:val="43C05953"/>
    <w:rsid w:val="43D052DE"/>
    <w:rsid w:val="449CB025"/>
    <w:rsid w:val="45080160"/>
    <w:rsid w:val="45242801"/>
    <w:rsid w:val="465E1AF1"/>
    <w:rsid w:val="475C87F2"/>
    <w:rsid w:val="47ED6C48"/>
    <w:rsid w:val="485953D1"/>
    <w:rsid w:val="48780679"/>
    <w:rsid w:val="48EDFE49"/>
    <w:rsid w:val="492DF380"/>
    <w:rsid w:val="499030AB"/>
    <w:rsid w:val="49CB4C17"/>
    <w:rsid w:val="4AB1B613"/>
    <w:rsid w:val="4AC41A71"/>
    <w:rsid w:val="4ADAAD1A"/>
    <w:rsid w:val="4BA8EBAF"/>
    <w:rsid w:val="4C1EFBE2"/>
    <w:rsid w:val="4C4206B5"/>
    <w:rsid w:val="4D0B1B65"/>
    <w:rsid w:val="4D2B5A93"/>
    <w:rsid w:val="4D50F9EF"/>
    <w:rsid w:val="4DC23787"/>
    <w:rsid w:val="4E22BD09"/>
    <w:rsid w:val="4E3B1895"/>
    <w:rsid w:val="4E6F998B"/>
    <w:rsid w:val="4E837FC7"/>
    <w:rsid w:val="4E845AF4"/>
    <w:rsid w:val="4EBC34B1"/>
    <w:rsid w:val="4F3011E3"/>
    <w:rsid w:val="4F66F3E3"/>
    <w:rsid w:val="4F9FA2D9"/>
    <w:rsid w:val="4FC9810C"/>
    <w:rsid w:val="4FFBFE6F"/>
    <w:rsid w:val="509ACC76"/>
    <w:rsid w:val="50D63650"/>
    <w:rsid w:val="512ACFB5"/>
    <w:rsid w:val="51643E84"/>
    <w:rsid w:val="51B6F2AA"/>
    <w:rsid w:val="51C02DBC"/>
    <w:rsid w:val="521928B7"/>
    <w:rsid w:val="52EA03B4"/>
    <w:rsid w:val="53ACA121"/>
    <w:rsid w:val="53EE08D4"/>
    <w:rsid w:val="543A937D"/>
    <w:rsid w:val="54446ABC"/>
    <w:rsid w:val="54ED0687"/>
    <w:rsid w:val="55150315"/>
    <w:rsid w:val="551F1107"/>
    <w:rsid w:val="553972BE"/>
    <w:rsid w:val="554708C9"/>
    <w:rsid w:val="56AF1FCE"/>
    <w:rsid w:val="56B42450"/>
    <w:rsid w:val="577AA3A0"/>
    <w:rsid w:val="579D0A14"/>
    <w:rsid w:val="57FAB38A"/>
    <w:rsid w:val="582D0F9B"/>
    <w:rsid w:val="58A85BB0"/>
    <w:rsid w:val="58D2AC0F"/>
    <w:rsid w:val="5903523A"/>
    <w:rsid w:val="59AEFBE4"/>
    <w:rsid w:val="5A5F3A92"/>
    <w:rsid w:val="5A9DF635"/>
    <w:rsid w:val="5AC25696"/>
    <w:rsid w:val="5B01ED22"/>
    <w:rsid w:val="5B337454"/>
    <w:rsid w:val="5BE8B3CE"/>
    <w:rsid w:val="5D215455"/>
    <w:rsid w:val="5D33510A"/>
    <w:rsid w:val="5D3C23F5"/>
    <w:rsid w:val="5D5431FA"/>
    <w:rsid w:val="5D77190A"/>
    <w:rsid w:val="5D8BE844"/>
    <w:rsid w:val="5D8D5282"/>
    <w:rsid w:val="5D99B87D"/>
    <w:rsid w:val="5DD8E99F"/>
    <w:rsid w:val="5E2B7CD6"/>
    <w:rsid w:val="5E5BF967"/>
    <w:rsid w:val="5EC9550F"/>
    <w:rsid w:val="5EF06307"/>
    <w:rsid w:val="5F057488"/>
    <w:rsid w:val="5F427E06"/>
    <w:rsid w:val="5F42F9D9"/>
    <w:rsid w:val="5F4ECF35"/>
    <w:rsid w:val="5F936DD4"/>
    <w:rsid w:val="5F99BE4B"/>
    <w:rsid w:val="5FDD0D46"/>
    <w:rsid w:val="5FEBB8D3"/>
    <w:rsid w:val="604E8C2F"/>
    <w:rsid w:val="6058DACC"/>
    <w:rsid w:val="60A52C84"/>
    <w:rsid w:val="60B0AF4D"/>
    <w:rsid w:val="613A033C"/>
    <w:rsid w:val="615B3D94"/>
    <w:rsid w:val="61A9D9D3"/>
    <w:rsid w:val="62574BAD"/>
    <w:rsid w:val="6259F261"/>
    <w:rsid w:val="625EE0CE"/>
    <w:rsid w:val="62680BFB"/>
    <w:rsid w:val="6281DC41"/>
    <w:rsid w:val="62D16F75"/>
    <w:rsid w:val="6340532A"/>
    <w:rsid w:val="635A2436"/>
    <w:rsid w:val="6362B6A8"/>
    <w:rsid w:val="637F26CC"/>
    <w:rsid w:val="64036F2C"/>
    <w:rsid w:val="64305246"/>
    <w:rsid w:val="645332E2"/>
    <w:rsid w:val="64A7217A"/>
    <w:rsid w:val="656A4BB9"/>
    <w:rsid w:val="660B7496"/>
    <w:rsid w:val="6629D66A"/>
    <w:rsid w:val="663D0656"/>
    <w:rsid w:val="6727CD0A"/>
    <w:rsid w:val="6738D18E"/>
    <w:rsid w:val="6751206C"/>
    <w:rsid w:val="676E3278"/>
    <w:rsid w:val="67EB83AD"/>
    <w:rsid w:val="68242DB4"/>
    <w:rsid w:val="687EF697"/>
    <w:rsid w:val="69F91541"/>
    <w:rsid w:val="6A6D11DB"/>
    <w:rsid w:val="6AB1295D"/>
    <w:rsid w:val="6ACE13EE"/>
    <w:rsid w:val="6B542A51"/>
    <w:rsid w:val="6BCEE85A"/>
    <w:rsid w:val="6BE49D56"/>
    <w:rsid w:val="6C03F44D"/>
    <w:rsid w:val="6C5CE0F9"/>
    <w:rsid w:val="6C993E44"/>
    <w:rsid w:val="6D0CF41D"/>
    <w:rsid w:val="6D4B996C"/>
    <w:rsid w:val="6D652DEB"/>
    <w:rsid w:val="6D72C114"/>
    <w:rsid w:val="6E0A7322"/>
    <w:rsid w:val="6E4B437F"/>
    <w:rsid w:val="6E6944F4"/>
    <w:rsid w:val="6E90BF14"/>
    <w:rsid w:val="6E926C12"/>
    <w:rsid w:val="6EAABE90"/>
    <w:rsid w:val="6EBF4921"/>
    <w:rsid w:val="6F63431A"/>
    <w:rsid w:val="703C7553"/>
    <w:rsid w:val="709FA5E4"/>
    <w:rsid w:val="7112CFB5"/>
    <w:rsid w:val="715E4E3E"/>
    <w:rsid w:val="7175F6C7"/>
    <w:rsid w:val="7322667A"/>
    <w:rsid w:val="73951F13"/>
    <w:rsid w:val="73D86CB5"/>
    <w:rsid w:val="74248D18"/>
    <w:rsid w:val="743393C6"/>
    <w:rsid w:val="74E327B5"/>
    <w:rsid w:val="752217A0"/>
    <w:rsid w:val="757F8E29"/>
    <w:rsid w:val="75A6DA47"/>
    <w:rsid w:val="75ABEAB6"/>
    <w:rsid w:val="75B7D4B5"/>
    <w:rsid w:val="75F76CC4"/>
    <w:rsid w:val="76422EEB"/>
    <w:rsid w:val="76604B45"/>
    <w:rsid w:val="76B36AB0"/>
    <w:rsid w:val="76C213E4"/>
    <w:rsid w:val="76E74F28"/>
    <w:rsid w:val="77AB5D88"/>
    <w:rsid w:val="78C42714"/>
    <w:rsid w:val="7A798602"/>
    <w:rsid w:val="7AA84238"/>
    <w:rsid w:val="7AB364D1"/>
    <w:rsid w:val="7B0970FA"/>
    <w:rsid w:val="7B1D7733"/>
    <w:rsid w:val="7B3E04B5"/>
    <w:rsid w:val="7BD9AC10"/>
    <w:rsid w:val="7BDF309A"/>
    <w:rsid w:val="7C0CCEB0"/>
    <w:rsid w:val="7CCA3448"/>
    <w:rsid w:val="7D917D3F"/>
    <w:rsid w:val="7DDDFA6D"/>
    <w:rsid w:val="7E58C39E"/>
    <w:rsid w:val="7F5157DA"/>
    <w:rsid w:val="7F56212E"/>
    <w:rsid w:val="7F99E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31A2"/>
  <w15:chartTrackingRefBased/>
  <w15:docId w15:val="{1DF2B8B6-7C5B-4491-B0A3-D796E821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13FF0D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Mention">
    <w:name w:val="Mention"/>
    <w:basedOn w:val="DefaultParagraphFont"/>
    <w:uiPriority w:val="99"/>
    <w:unhideWhenUsed/>
    <w:rsid w:val="06C9B238"/>
    <w:rPr>
      <w:color w:val="2B579A"/>
    </w:rPr>
  </w:style>
  <w:style w:type="character" w:styleId="normaltextrun" w:customStyle="1">
    <w:name w:val="normaltextrun"/>
    <w:basedOn w:val="DefaultParagraphFont"/>
    <w:uiPriority w:val="1"/>
    <w:rsid w:val="6E90BF14"/>
    <w:rPr>
      <w:rFonts w:asciiTheme="minorHAnsi" w:hAnsiTheme="minorHAnsi" w:eastAsiaTheme="minorEastAsia" w:cstheme="minorBidi"/>
      <w:sz w:val="24"/>
      <w:szCs w:val="24"/>
    </w:rPr>
  </w:style>
  <w:style w:type="character" w:styleId="eop" w:customStyle="1">
    <w:name w:val="eop"/>
    <w:basedOn w:val="DefaultParagraphFont"/>
    <w:uiPriority w:val="1"/>
    <w:rsid w:val="6E90BF14"/>
    <w:rPr>
      <w:rFonts w:asciiTheme="minorHAnsi" w:hAnsiTheme="minorHAnsi" w:eastAsiaTheme="minorEastAsia" w:cstheme="minorBidi"/>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13FF0DBE"/>
    <w:pPr>
      <w:tabs>
        <w:tab w:val="center" w:pos="4680"/>
        <w:tab w:val="right" w:pos="9360"/>
      </w:tabs>
      <w:spacing w:after="0" w:line="240" w:lineRule="auto"/>
    </w:pPr>
  </w:style>
  <w:style w:type="paragraph" w:styleId="Footer">
    <w:name w:val="footer"/>
    <w:basedOn w:val="Normal"/>
    <w:uiPriority w:val="99"/>
    <w:unhideWhenUsed/>
    <w:rsid w:val="13FF0DBE"/>
    <w:pPr>
      <w:tabs>
        <w:tab w:val="center" w:pos="4680"/>
        <w:tab w:val="right" w:pos="9360"/>
      </w:tabs>
      <w:spacing w:after="0" w:line="240" w:lineRule="auto"/>
    </w:pPr>
  </w:style>
  <w:style w:type="paragraph" w:styleId="Title">
    <w:name w:val="Title"/>
    <w:basedOn w:val="Normal"/>
    <w:next w:val="Normal"/>
    <w:uiPriority w:val="10"/>
    <w:qFormat/>
    <w:rsid w:val="13FF0DBE"/>
    <w:pPr>
      <w:spacing w:after="80" w:line="240" w:lineRule="auto"/>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13FF0DBE"/>
    <w:rPr>
      <w:rFonts w:eastAsiaTheme="majorEastAsia" w:cstheme="majorBidi"/>
      <w:color w:val="595959" w:themeColor="text1" w:themeTint="A6"/>
      <w:sz w:val="28"/>
      <w:szCs w:val="28"/>
    </w:rPr>
  </w:style>
  <w:style w:type="paragraph" w:styleId="CommentSubject">
    <w:name w:val="annotation subject"/>
    <w:basedOn w:val="CommentText"/>
    <w:next w:val="CommentText"/>
    <w:link w:val="CommentSubjectChar"/>
    <w:uiPriority w:val="99"/>
    <w:semiHidden/>
    <w:unhideWhenUsed/>
    <w:rsid w:val="00182862"/>
    <w:rPr>
      <w:b/>
      <w:bCs/>
    </w:rPr>
  </w:style>
  <w:style w:type="character" w:styleId="CommentSubjectChar" w:customStyle="1">
    <w:name w:val="Comment Subject Char"/>
    <w:basedOn w:val="CommentTextChar"/>
    <w:link w:val="CommentSubject"/>
    <w:uiPriority w:val="99"/>
    <w:semiHidden/>
    <w:rsid w:val="00182862"/>
    <w:rPr>
      <w:b/>
      <w:bCs/>
      <w:sz w:val="20"/>
      <w:szCs w:val="20"/>
    </w:rPr>
  </w:style>
  <w:style w:type="character" w:styleId="FollowedHyperlink">
    <w:name w:val="FollowedHyperlink"/>
    <w:basedOn w:val="DefaultParagraphFont"/>
    <w:uiPriority w:val="99"/>
    <w:semiHidden/>
    <w:unhideWhenUsed/>
    <w:rsid w:val="003841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hdsi.org/data-standardiz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lower.ai/docs/framewor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hdsi.org/data-standardization/" TargetMode="External" Id="rId11" /><Relationship Type="http://schemas.openxmlformats.org/officeDocument/2006/relationships/styles" Target="styles.xml" Id="rId5" /><Relationship Type="http://schemas.openxmlformats.org/officeDocument/2006/relationships/hyperlink" Target="https://www.ohdsi.org/." TargetMode="External" Id="rId15" /><Relationship Type="http://schemas.openxmlformats.org/officeDocument/2006/relationships/hyperlink" Target="https://www.canada.ca/en/government/system/digital-government/digital-government-innovations/information-management/guidance-assessing-readiness-manage-data-according-findable-accessible-interoperable-reusable-principles.htm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hdsi.org/data-standardization/" TargetMode="External" Id="rId14" /><Relationship Type="http://schemas.openxmlformats.org/officeDocument/2006/relationships/header" Target="header2.xml" Id="Rbbb1a95f73004960" /></Relationships>
</file>

<file path=word/_rels/header2.xml.rels>&#65279;<?xml version="1.0" encoding="utf-8"?><Relationships xmlns="http://schemas.openxmlformats.org/package/2006/relationships"><Relationship Type="http://schemas.openxmlformats.org/officeDocument/2006/relationships/image" Target="/media/image2.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ee4f4-e226-4a9b-9be6-243ce424b2f8">
      <Terms xmlns="http://schemas.microsoft.com/office/infopath/2007/PartnerControls"/>
    </lcf76f155ced4ddcb4097134ff3c332f>
    <TaxCatchAll xmlns="029d4132-b471-43a3-95c1-865480bea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0FE6B9EE05F44838345515C11C08A" ma:contentTypeVersion="17" ma:contentTypeDescription="Create a new document." ma:contentTypeScope="" ma:versionID="ef33f5c98d84d6fb0ba2dc75863bf653">
  <xsd:schema xmlns:xsd="http://www.w3.org/2001/XMLSchema" xmlns:xs="http://www.w3.org/2001/XMLSchema" xmlns:p="http://schemas.microsoft.com/office/2006/metadata/properties" xmlns:ns2="b15ee4f4-e226-4a9b-9be6-243ce424b2f8" xmlns:ns3="029d4132-b471-43a3-95c1-865480bea72f" targetNamespace="http://schemas.microsoft.com/office/2006/metadata/properties" ma:root="true" ma:fieldsID="80688675bcdf2dedb95cc39a4d0099bf" ns2:_="" ns3:_="">
    <xsd:import namespace="b15ee4f4-e226-4a9b-9be6-243ce424b2f8"/>
    <xsd:import namespace="029d4132-b471-43a3-95c1-865480bea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ee4f4-e226-4a9b-9be6-243ce424b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d4132-b471-43a3-95c1-865480bea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974067-2eab-449e-84a2-cf27ed2848f4}" ma:internalName="TaxCatchAll" ma:showField="CatchAllData" ma:web="029d4132-b471-43a3-95c1-865480bea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18B5D-D0AA-4F4D-BF4F-9FE7970A8DAE}">
  <ds:schemaRefs>
    <ds:schemaRef ds:uri="http://schemas.microsoft.com/office/2006/metadata/properties"/>
    <ds:schemaRef ds:uri="http://schemas.microsoft.com/office/infopath/2007/PartnerControls"/>
    <ds:schemaRef ds:uri="b15ee4f4-e226-4a9b-9be6-243ce424b2f8"/>
    <ds:schemaRef ds:uri="029d4132-b471-43a3-95c1-865480bea72f"/>
  </ds:schemaRefs>
</ds:datastoreItem>
</file>

<file path=customXml/itemProps2.xml><?xml version="1.0" encoding="utf-8"?>
<ds:datastoreItem xmlns:ds="http://schemas.openxmlformats.org/officeDocument/2006/customXml" ds:itemID="{9BE67522-3EB4-4C14-B4FE-D161EBB59AFF}">
  <ds:schemaRefs>
    <ds:schemaRef ds:uri="http://schemas.microsoft.com/sharepoint/v3/contenttype/forms"/>
  </ds:schemaRefs>
</ds:datastoreItem>
</file>

<file path=customXml/itemProps3.xml><?xml version="1.0" encoding="utf-8"?>
<ds:datastoreItem xmlns:ds="http://schemas.openxmlformats.org/officeDocument/2006/customXml" ds:itemID="{36850853-F766-4DE3-A436-8DBB435F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ee4f4-e226-4a9b-9be6-243ce424b2f8"/>
    <ds:schemaRef ds:uri="029d4132-b471-43a3-95c1-865480be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Girgis</dc:creator>
  <keywords/>
  <dc:description/>
  <lastModifiedBy>Ashley Girgis</lastModifiedBy>
  <revision>110</revision>
  <dcterms:created xsi:type="dcterms:W3CDTF">2025-09-05T19:11:00.0000000Z</dcterms:created>
  <dcterms:modified xsi:type="dcterms:W3CDTF">2025-10-01T23:23:40.8418660Z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0x010100BD50FE6B9EE05F44838345515C11C08A</vt:lpwstr>
  </property>
  <property fmtid="{D5CDD505-2E9C-101B-9397-08002B2CF9AE}" pid="3" name="MediaServiceImageTags">
    <vt:lpwstr/>
  </property>
</Properties>
</file>